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6B445" w14:textId="781C681C" w:rsidR="009706B3" w:rsidRPr="009706B3" w:rsidRDefault="009706B3" w:rsidP="009706B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706B3">
        <w:rPr>
          <w:rFonts w:ascii="Times New Roman" w:hAnsi="Times New Roman" w:cs="Times New Roman"/>
          <w:b/>
        </w:rPr>
        <w:t>LEAP Essential Learning Outcomes and GC’s Core Curriculum</w:t>
      </w:r>
    </w:p>
    <w:p w14:paraId="042E1D08" w14:textId="77777777" w:rsidR="009706B3" w:rsidRDefault="009706B3" w:rsidP="009706B3">
      <w:pPr>
        <w:jc w:val="center"/>
        <w:rPr>
          <w:rFonts w:ascii="Times New Roman" w:hAnsi="Times New Roman" w:cs="Times New Roman"/>
        </w:rPr>
      </w:pPr>
    </w:p>
    <w:p w14:paraId="3461A7A6" w14:textId="3CCF35F8" w:rsidR="00A825F8" w:rsidRDefault="00A825F8" w:rsidP="00A825F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825F8">
        <w:rPr>
          <w:rFonts w:ascii="Times New Roman" w:hAnsi="Times New Roman" w:cs="Times New Roman"/>
        </w:rPr>
        <w:t>LEAP (Liberal Education and America’s Promise), under the aegis of the AAC&amp;U has developed a set of Essential Learning Outcomes</w:t>
      </w:r>
      <w:r w:rsidR="009706B3">
        <w:rPr>
          <w:rFonts w:ascii="Times New Roman" w:hAnsi="Times New Roman" w:cs="Times New Roman"/>
        </w:rPr>
        <w:t xml:space="preserve"> (ELOs)</w:t>
      </w:r>
      <w:r w:rsidRPr="00A825F8">
        <w:rPr>
          <w:rFonts w:ascii="Times New Roman" w:hAnsi="Times New Roman" w:cs="Times New Roman"/>
        </w:rPr>
        <w:t xml:space="preserve"> as a “r</w:t>
      </w:r>
      <w:r w:rsidRPr="00A825F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esponse to contemporary demands for more college-educated workers and more engaged and informed citizens.”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These </w:t>
      </w:r>
      <w:r w:rsidR="00A60EE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ELOs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are:</w:t>
      </w:r>
    </w:p>
    <w:p w14:paraId="2169655F" w14:textId="77777777" w:rsidR="00A825F8" w:rsidRDefault="00A825F8" w:rsidP="00A825F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11C80" w14:paraId="3A69D81A" w14:textId="77777777" w:rsidTr="00C11C80">
        <w:tc>
          <w:tcPr>
            <w:tcW w:w="8856" w:type="dxa"/>
          </w:tcPr>
          <w:p w14:paraId="461DA08E" w14:textId="563E6813" w:rsidR="00671903" w:rsidRPr="00671903" w:rsidRDefault="00671903" w:rsidP="00671903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inherit" w:hAnsi="inherit" w:cs="Times New Roman" w:hint="eastAsia"/>
                <w:b/>
                <w:bCs/>
                <w:color w:val="000000"/>
                <w:sz w:val="32"/>
                <w:szCs w:val="32"/>
              </w:rPr>
            </w:pPr>
            <w:r w:rsidRPr="00671903">
              <w:rPr>
                <w:rFonts w:ascii="inherit" w:hAnsi="inherit" w:cs="Times New Roman"/>
                <w:b/>
                <w:bCs/>
                <w:color w:val="000000"/>
                <w:sz w:val="32"/>
                <w:szCs w:val="32"/>
              </w:rPr>
              <w:t>LEAP Essential Learning Outcomes:</w:t>
            </w:r>
          </w:p>
          <w:p w14:paraId="7B6B9D8F" w14:textId="77777777" w:rsidR="00671903" w:rsidRDefault="00671903" w:rsidP="00C11C8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inherit" w:hAnsi="inherit" w:cs="Times New Roman" w:hint="eastAsia"/>
                <w:b/>
                <w:bCs/>
                <w:color w:val="000000"/>
              </w:rPr>
            </w:pPr>
          </w:p>
          <w:p w14:paraId="673D8BC6" w14:textId="77777777" w:rsidR="00C11C80" w:rsidRPr="00C11C80" w:rsidRDefault="00C11C80" w:rsidP="00C11C8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Calibri" w:hAnsi="Calibri" w:cs="Times New Roman"/>
                <w:color w:val="000000"/>
              </w:rPr>
            </w:pPr>
            <w:r w:rsidRPr="00C11C80">
              <w:rPr>
                <w:rFonts w:ascii="inherit" w:hAnsi="inherit" w:cs="Times New Roman"/>
                <w:b/>
                <w:bCs/>
                <w:color w:val="000000"/>
              </w:rPr>
              <w:t>Knowledge of Human Cultures and the Physical and Natural World</w:t>
            </w:r>
          </w:p>
          <w:p w14:paraId="3F2808F7" w14:textId="77777777" w:rsidR="00C11C80" w:rsidRPr="00C11C80" w:rsidRDefault="00C11C80" w:rsidP="00C11C80">
            <w:pPr>
              <w:numPr>
                <w:ilvl w:val="0"/>
                <w:numId w:val="5"/>
              </w:num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C11C80">
              <w:rPr>
                <w:rFonts w:ascii="inherit" w:eastAsia="Times New Roman" w:hAnsi="inherit" w:cs="Times New Roman"/>
                <w:color w:val="000000"/>
              </w:rPr>
              <w:t>Through study in the sciences and mathematics, social sciences, humanities, histories, languages, and the arts</w:t>
            </w:r>
          </w:p>
          <w:p w14:paraId="7DECC3FE" w14:textId="77777777" w:rsidR="00C11C80" w:rsidRPr="00C11C80" w:rsidRDefault="00C11C80" w:rsidP="00C11C8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Calibri" w:hAnsi="Calibri" w:cs="Times New Roman"/>
                <w:color w:val="000000"/>
              </w:rPr>
            </w:pPr>
            <w:r w:rsidRPr="00C11C80">
              <w:rPr>
                <w:rFonts w:ascii="inherit" w:hAnsi="inherit" w:cs="Times New Roman"/>
                <w:i/>
                <w:iCs/>
                <w:color w:val="000000"/>
              </w:rPr>
              <w:t>Focused</w:t>
            </w:r>
            <w:r w:rsidRPr="00C11C80">
              <w:rPr>
                <w:rFonts w:ascii="Calibri" w:hAnsi="Calibri" w:cs="Times New Roman"/>
                <w:color w:val="000000"/>
              </w:rPr>
              <w:t> by engagement with big questions, both contemporary and enduring</w:t>
            </w:r>
          </w:p>
          <w:p w14:paraId="7F27E66C" w14:textId="77777777" w:rsidR="00C11C80" w:rsidRPr="00C11C80" w:rsidRDefault="00C11C80" w:rsidP="00C11C8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Calibri" w:hAnsi="Calibri" w:cs="Times New Roman"/>
                <w:color w:val="000000"/>
              </w:rPr>
            </w:pPr>
            <w:r w:rsidRPr="00C11C80">
              <w:rPr>
                <w:rFonts w:ascii="inherit" w:hAnsi="inherit" w:cs="Times New Roman"/>
                <w:b/>
                <w:bCs/>
                <w:color w:val="000000"/>
              </w:rPr>
              <w:t>Intellectual and Practical Skills, Including</w:t>
            </w:r>
          </w:p>
          <w:p w14:paraId="38BFC6E1" w14:textId="77777777" w:rsidR="00C11C80" w:rsidRPr="00C11C80" w:rsidRDefault="00C11C80" w:rsidP="00C11C80">
            <w:pPr>
              <w:numPr>
                <w:ilvl w:val="0"/>
                <w:numId w:val="6"/>
              </w:num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C11C80">
              <w:rPr>
                <w:rFonts w:ascii="inherit" w:eastAsia="Times New Roman" w:hAnsi="inherit" w:cs="Times New Roman"/>
                <w:color w:val="000000"/>
              </w:rPr>
              <w:t>Inquiry and analysis</w:t>
            </w:r>
          </w:p>
          <w:p w14:paraId="303D7324" w14:textId="77777777" w:rsidR="00C11C80" w:rsidRPr="00C11C80" w:rsidRDefault="00C11C80" w:rsidP="00C11C80">
            <w:pPr>
              <w:numPr>
                <w:ilvl w:val="0"/>
                <w:numId w:val="6"/>
              </w:num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C11C80">
              <w:rPr>
                <w:rFonts w:ascii="inherit" w:eastAsia="Times New Roman" w:hAnsi="inherit" w:cs="Times New Roman"/>
                <w:color w:val="000000"/>
              </w:rPr>
              <w:t>Critical and creative thinking</w:t>
            </w:r>
          </w:p>
          <w:p w14:paraId="4076F7E8" w14:textId="77777777" w:rsidR="00C11C80" w:rsidRPr="00C11C80" w:rsidRDefault="00C11C80" w:rsidP="00C11C80">
            <w:pPr>
              <w:numPr>
                <w:ilvl w:val="0"/>
                <w:numId w:val="6"/>
              </w:num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C11C80">
              <w:rPr>
                <w:rFonts w:ascii="inherit" w:eastAsia="Times New Roman" w:hAnsi="inherit" w:cs="Times New Roman"/>
                <w:color w:val="000000"/>
              </w:rPr>
              <w:t>Written and oral communication</w:t>
            </w:r>
          </w:p>
          <w:p w14:paraId="2F11523A" w14:textId="77777777" w:rsidR="00C11C80" w:rsidRPr="00C11C80" w:rsidRDefault="00C11C80" w:rsidP="00C11C80">
            <w:pPr>
              <w:numPr>
                <w:ilvl w:val="0"/>
                <w:numId w:val="6"/>
              </w:num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C11C80">
              <w:rPr>
                <w:rFonts w:ascii="inherit" w:eastAsia="Times New Roman" w:hAnsi="inherit" w:cs="Times New Roman"/>
                <w:color w:val="000000"/>
              </w:rPr>
              <w:t>Quantitative literacy</w:t>
            </w:r>
          </w:p>
          <w:p w14:paraId="468C57D5" w14:textId="77777777" w:rsidR="00C11C80" w:rsidRPr="00C11C80" w:rsidRDefault="00C11C80" w:rsidP="00C11C80">
            <w:pPr>
              <w:numPr>
                <w:ilvl w:val="0"/>
                <w:numId w:val="6"/>
              </w:num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C11C80">
              <w:rPr>
                <w:rFonts w:ascii="inherit" w:eastAsia="Times New Roman" w:hAnsi="inherit" w:cs="Times New Roman"/>
                <w:color w:val="000000"/>
              </w:rPr>
              <w:t>Information literacy</w:t>
            </w:r>
          </w:p>
          <w:p w14:paraId="11125B47" w14:textId="77777777" w:rsidR="00C11C80" w:rsidRPr="00C11C80" w:rsidRDefault="00C11C80" w:rsidP="00C11C80">
            <w:pPr>
              <w:numPr>
                <w:ilvl w:val="0"/>
                <w:numId w:val="6"/>
              </w:num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C11C80">
              <w:rPr>
                <w:rFonts w:ascii="inherit" w:eastAsia="Times New Roman" w:hAnsi="inherit" w:cs="Times New Roman"/>
                <w:color w:val="000000"/>
              </w:rPr>
              <w:t>Teamwork and problem solving</w:t>
            </w:r>
          </w:p>
          <w:p w14:paraId="08445E8E" w14:textId="77777777" w:rsidR="00C11C80" w:rsidRPr="00C11C80" w:rsidRDefault="00C11C80" w:rsidP="00C11C8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Calibri" w:hAnsi="Calibri" w:cs="Times New Roman"/>
                <w:color w:val="000000"/>
              </w:rPr>
            </w:pPr>
            <w:r w:rsidRPr="00C11C80">
              <w:rPr>
                <w:rFonts w:ascii="inherit" w:hAnsi="inherit" w:cs="Times New Roman"/>
                <w:i/>
                <w:iCs/>
                <w:color w:val="000000"/>
              </w:rPr>
              <w:t>Practiced extensively</w:t>
            </w:r>
            <w:r w:rsidRPr="00C11C80">
              <w:rPr>
                <w:rFonts w:ascii="Calibri" w:hAnsi="Calibri" w:cs="Times New Roman"/>
                <w:color w:val="000000"/>
              </w:rPr>
              <w:t>, across the curriculum, in the context of progressively more challenging problems, projects, and standards for performance</w:t>
            </w:r>
          </w:p>
          <w:p w14:paraId="41EC240F" w14:textId="77777777" w:rsidR="00C11C80" w:rsidRPr="00C11C80" w:rsidRDefault="00C11C80" w:rsidP="00C11C8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Calibri" w:hAnsi="Calibri" w:cs="Times New Roman"/>
                <w:color w:val="000000"/>
              </w:rPr>
            </w:pPr>
            <w:r w:rsidRPr="00C11C80">
              <w:rPr>
                <w:rFonts w:ascii="inherit" w:hAnsi="inherit" w:cs="Times New Roman"/>
                <w:b/>
                <w:bCs/>
                <w:color w:val="000000"/>
              </w:rPr>
              <w:t>Personal and Social Responsibility, Including</w:t>
            </w:r>
          </w:p>
          <w:p w14:paraId="1B302F50" w14:textId="77777777" w:rsidR="00C11C80" w:rsidRPr="00C11C80" w:rsidRDefault="00C11C80" w:rsidP="00C11C80">
            <w:pPr>
              <w:numPr>
                <w:ilvl w:val="0"/>
                <w:numId w:val="7"/>
              </w:num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C11C80">
              <w:rPr>
                <w:rFonts w:ascii="inherit" w:eastAsia="Times New Roman" w:hAnsi="inherit" w:cs="Times New Roman"/>
                <w:color w:val="000000"/>
              </w:rPr>
              <w:t>Civic knowledge and engagement—local and global</w:t>
            </w:r>
          </w:p>
          <w:p w14:paraId="2293DE11" w14:textId="77777777" w:rsidR="00C11C80" w:rsidRPr="00C11C80" w:rsidRDefault="00C11C80" w:rsidP="00C11C80">
            <w:pPr>
              <w:numPr>
                <w:ilvl w:val="0"/>
                <w:numId w:val="7"/>
              </w:num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C11C80">
              <w:rPr>
                <w:rFonts w:ascii="inherit" w:eastAsia="Times New Roman" w:hAnsi="inherit" w:cs="Times New Roman"/>
                <w:color w:val="000000"/>
              </w:rPr>
              <w:t>Intercultural knowledge and competence</w:t>
            </w:r>
          </w:p>
          <w:p w14:paraId="1DBAE907" w14:textId="77777777" w:rsidR="00C11C80" w:rsidRPr="00C11C80" w:rsidRDefault="00C11C80" w:rsidP="00C11C80">
            <w:pPr>
              <w:numPr>
                <w:ilvl w:val="0"/>
                <w:numId w:val="7"/>
              </w:num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C11C80">
              <w:rPr>
                <w:rFonts w:ascii="inherit" w:eastAsia="Times New Roman" w:hAnsi="inherit" w:cs="Times New Roman"/>
                <w:color w:val="000000"/>
              </w:rPr>
              <w:t>Ethical reasoning and action</w:t>
            </w:r>
          </w:p>
          <w:p w14:paraId="268A6386" w14:textId="77777777" w:rsidR="00C11C80" w:rsidRPr="00C11C80" w:rsidRDefault="00C11C80" w:rsidP="00C11C80">
            <w:pPr>
              <w:numPr>
                <w:ilvl w:val="0"/>
                <w:numId w:val="7"/>
              </w:num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C11C80">
              <w:rPr>
                <w:rFonts w:ascii="inherit" w:eastAsia="Times New Roman" w:hAnsi="inherit" w:cs="Times New Roman"/>
                <w:color w:val="000000"/>
              </w:rPr>
              <w:t>Foundations and skills for lifelong learning</w:t>
            </w:r>
          </w:p>
          <w:p w14:paraId="2618C514" w14:textId="77777777" w:rsidR="00C11C80" w:rsidRPr="00C11C80" w:rsidRDefault="00C11C80" w:rsidP="00C11C8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Calibri" w:hAnsi="Calibri" w:cs="Times New Roman"/>
                <w:color w:val="000000"/>
              </w:rPr>
            </w:pPr>
            <w:r w:rsidRPr="00C11C80">
              <w:rPr>
                <w:rFonts w:ascii="inherit" w:hAnsi="inherit" w:cs="Times New Roman"/>
                <w:i/>
                <w:iCs/>
                <w:color w:val="000000"/>
              </w:rPr>
              <w:t>Anchored</w:t>
            </w:r>
            <w:r w:rsidRPr="00C11C80">
              <w:rPr>
                <w:rFonts w:ascii="Calibri" w:hAnsi="Calibri" w:cs="Times New Roman"/>
                <w:color w:val="000000"/>
              </w:rPr>
              <w:t> through active involvement with diverse communities and real-world challenges</w:t>
            </w:r>
          </w:p>
          <w:p w14:paraId="1F4D48FD" w14:textId="77777777" w:rsidR="00C11C80" w:rsidRPr="00C11C80" w:rsidRDefault="00C11C80" w:rsidP="00C11C8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Calibri" w:hAnsi="Calibri" w:cs="Times New Roman"/>
                <w:color w:val="000000"/>
              </w:rPr>
            </w:pPr>
            <w:r w:rsidRPr="00C11C80">
              <w:rPr>
                <w:rFonts w:ascii="inherit" w:hAnsi="inherit" w:cs="Times New Roman"/>
                <w:b/>
                <w:bCs/>
                <w:color w:val="000000"/>
              </w:rPr>
              <w:t>Integrative and Applied Learning, Including</w:t>
            </w:r>
          </w:p>
          <w:p w14:paraId="72F5D8A4" w14:textId="77777777" w:rsidR="00C11C80" w:rsidRPr="00C11C80" w:rsidRDefault="00C11C80" w:rsidP="00C11C80">
            <w:pPr>
              <w:numPr>
                <w:ilvl w:val="0"/>
                <w:numId w:val="8"/>
              </w:num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C11C80">
              <w:rPr>
                <w:rFonts w:ascii="inherit" w:eastAsia="Times New Roman" w:hAnsi="inherit" w:cs="Times New Roman"/>
                <w:color w:val="000000"/>
              </w:rPr>
              <w:t>Synthesis and advanced accomplishment across general and specialized studies</w:t>
            </w:r>
          </w:p>
          <w:p w14:paraId="5C84F766" w14:textId="77777777" w:rsidR="00C11C80" w:rsidRPr="00C11C80" w:rsidRDefault="00C11C80" w:rsidP="00C11C80">
            <w:pPr>
              <w:shd w:val="clear" w:color="auto" w:fill="FFFFFF"/>
              <w:spacing w:line="300" w:lineRule="atLeast"/>
              <w:ind w:left="720"/>
              <w:textAlignment w:val="baseline"/>
              <w:rPr>
                <w:rFonts w:ascii="Calibri" w:hAnsi="Calibri" w:cs="Times New Roman"/>
                <w:color w:val="000000"/>
              </w:rPr>
            </w:pPr>
            <w:r w:rsidRPr="00C11C80">
              <w:rPr>
                <w:rFonts w:ascii="inherit" w:hAnsi="inherit" w:cs="Times New Roman"/>
                <w:i/>
                <w:iCs/>
                <w:color w:val="000000"/>
              </w:rPr>
              <w:t>Demonstrated</w:t>
            </w:r>
            <w:r w:rsidRPr="00C11C80">
              <w:rPr>
                <w:rFonts w:ascii="Calibri" w:hAnsi="Calibri" w:cs="Times New Roman"/>
                <w:color w:val="000000"/>
              </w:rPr>
              <w:t> through the application of knowledge, skills, and responsibilities to new settings and complex problems</w:t>
            </w:r>
          </w:p>
          <w:p w14:paraId="315C3BAB" w14:textId="77777777" w:rsidR="00C11C80" w:rsidRDefault="00C11C80" w:rsidP="00A825F8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14:paraId="745631C0" w14:textId="77777777" w:rsidR="00C11C80" w:rsidRDefault="00C11C80" w:rsidP="00A825F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2BDDE24" w14:textId="77777777" w:rsidR="00A825F8" w:rsidRPr="00C11C80" w:rsidRDefault="00A825F8" w:rsidP="00A825F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8FFE4B2" w14:textId="77777777" w:rsidR="00A825F8" w:rsidRDefault="00A825F8" w:rsidP="00A825F8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75563972" w14:textId="4F594F55" w:rsidR="00976A6A" w:rsidRDefault="00A825F8" w:rsidP="00A60EE2">
      <w:pPr>
        <w:rPr>
          <w:rFonts w:ascii="inherit" w:eastAsia="Times New Roman" w:hAnsi="inherit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Fall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2018 the General Education Committee </w:t>
      </w:r>
      <w:r w:rsidR="009706B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(GEC)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was tasked with mapping the set of ELOs developed by LEAP to </w:t>
      </w:r>
      <w:r w:rsidR="009706B3">
        <w:rPr>
          <w:rFonts w:ascii="Times New Roman" w:eastAsia="Times New Roman" w:hAnsi="Times New Roman" w:cs="Times New Roman"/>
          <w:color w:val="000000"/>
          <w:shd w:val="clear" w:color="auto" w:fill="FFFFFF"/>
        </w:rPr>
        <w:t>GC’s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Core Curriculum to judge the extent to which our existing Core Curriculum achieves these ELO</w:t>
      </w:r>
      <w:r w:rsidR="009706B3">
        <w:rPr>
          <w:rFonts w:ascii="Times New Roman" w:eastAsia="Times New Roman" w:hAnsi="Times New Roman" w:cs="Times New Roman"/>
          <w:color w:val="000000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="00A60EE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 mapping the ELOs the GEC reviewed </w:t>
      </w:r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 xml:space="preserve">each </w:t>
      </w:r>
      <w:r w:rsidR="00976A6A" w:rsidRPr="00976A6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area</w:t>
      </w:r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of the Core Curriculum (</w:t>
      </w:r>
      <w:proofErr w:type="spellStart"/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>eg</w:t>
      </w:r>
      <w:proofErr w:type="spellEnd"/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Area A1, </w:t>
      </w:r>
      <w:proofErr w:type="spellStart"/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>A2</w:t>
      </w:r>
      <w:proofErr w:type="spellEnd"/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>B1</w:t>
      </w:r>
      <w:proofErr w:type="spellEnd"/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>B2</w:t>
      </w:r>
      <w:proofErr w:type="spellEnd"/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>etc</w:t>
      </w:r>
      <w:proofErr w:type="spellEnd"/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), rather than particular </w:t>
      </w:r>
      <w:r w:rsidR="00976A6A" w:rsidRPr="00976A6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courses</w:t>
      </w:r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in the Core Curriculum because we wanted to ensure that all students would meet the expected ELO regardless of which course they took within a particular area. A second point to note is that in several cases the GEC separated the ELO as </w:t>
      </w:r>
      <w:r w:rsidR="009706B3">
        <w:rPr>
          <w:rFonts w:ascii="Times New Roman" w:eastAsia="Times New Roman" w:hAnsi="Times New Roman" w:cs="Times New Roman"/>
          <w:color w:val="000000"/>
          <w:shd w:val="clear" w:color="auto" w:fill="FFFFFF"/>
        </w:rPr>
        <w:t>articulat</w:t>
      </w:r>
      <w:r w:rsidR="00976A6A">
        <w:rPr>
          <w:rFonts w:ascii="Times New Roman" w:eastAsia="Times New Roman" w:hAnsi="Times New Roman" w:cs="Times New Roman"/>
          <w:color w:val="000000"/>
          <w:shd w:val="clear" w:color="auto" w:fill="FFFFFF"/>
        </w:rPr>
        <w:t>ed by the AAC&amp;U. For example, rather than looking for an area of the core that incorporated the ELO ‘</w:t>
      </w:r>
      <w:r w:rsidR="00976A6A" w:rsidRPr="00A825F8">
        <w:rPr>
          <w:rFonts w:ascii="inherit" w:eastAsia="Times New Roman" w:hAnsi="inherit" w:cs="Times New Roman"/>
          <w:color w:val="000000"/>
        </w:rPr>
        <w:t>Critical and creative thinking</w:t>
      </w:r>
      <w:r w:rsidR="00976A6A">
        <w:rPr>
          <w:rFonts w:ascii="inherit" w:eastAsia="Times New Roman" w:hAnsi="inherit" w:cs="Times New Roman" w:hint="eastAsia"/>
          <w:color w:val="000000"/>
        </w:rPr>
        <w:t>’</w:t>
      </w:r>
      <w:r w:rsidR="00976A6A">
        <w:rPr>
          <w:rFonts w:ascii="inherit" w:eastAsia="Times New Roman" w:hAnsi="inherit" w:cs="Times New Roman"/>
          <w:color w:val="000000"/>
        </w:rPr>
        <w:t xml:space="preserve"> as </w:t>
      </w:r>
      <w:r w:rsidR="009706B3">
        <w:rPr>
          <w:rFonts w:ascii="inherit" w:eastAsia="Times New Roman" w:hAnsi="inherit" w:cs="Times New Roman"/>
          <w:color w:val="000000"/>
        </w:rPr>
        <w:t>envision</w:t>
      </w:r>
      <w:r w:rsidR="00976A6A">
        <w:rPr>
          <w:rFonts w:ascii="inherit" w:eastAsia="Times New Roman" w:hAnsi="inherit" w:cs="Times New Roman"/>
          <w:color w:val="000000"/>
        </w:rPr>
        <w:t xml:space="preserve">ed by AAC&amp;U we looked for an area that incorporated </w:t>
      </w:r>
      <w:r w:rsidR="00976A6A">
        <w:rPr>
          <w:rFonts w:ascii="inherit" w:eastAsia="Times New Roman" w:hAnsi="inherit" w:cs="Times New Roman" w:hint="eastAsia"/>
          <w:color w:val="000000"/>
        </w:rPr>
        <w:t>‘</w:t>
      </w:r>
      <w:r w:rsidR="00976A6A">
        <w:rPr>
          <w:rFonts w:ascii="inherit" w:eastAsia="Times New Roman" w:hAnsi="inherit" w:cs="Times New Roman"/>
          <w:color w:val="000000"/>
        </w:rPr>
        <w:t>Critical Thinking</w:t>
      </w:r>
      <w:r w:rsidR="00976A6A">
        <w:rPr>
          <w:rFonts w:ascii="inherit" w:eastAsia="Times New Roman" w:hAnsi="inherit" w:cs="Times New Roman" w:hint="eastAsia"/>
          <w:color w:val="000000"/>
        </w:rPr>
        <w:t>’</w:t>
      </w:r>
      <w:r w:rsidR="00976A6A">
        <w:rPr>
          <w:rFonts w:ascii="inherit" w:eastAsia="Times New Roman" w:hAnsi="inherit" w:cs="Times New Roman"/>
          <w:color w:val="000000"/>
        </w:rPr>
        <w:t xml:space="preserve"> and another area that incorporated </w:t>
      </w:r>
      <w:r w:rsidR="00976A6A">
        <w:rPr>
          <w:rFonts w:ascii="inherit" w:eastAsia="Times New Roman" w:hAnsi="inherit" w:cs="Times New Roman" w:hint="eastAsia"/>
          <w:color w:val="000000"/>
        </w:rPr>
        <w:t>‘</w:t>
      </w:r>
      <w:r w:rsidR="00976A6A">
        <w:rPr>
          <w:rFonts w:ascii="inherit" w:eastAsia="Times New Roman" w:hAnsi="inherit" w:cs="Times New Roman"/>
          <w:color w:val="000000"/>
        </w:rPr>
        <w:t>Creative Thinking</w:t>
      </w:r>
      <w:r w:rsidR="00976A6A">
        <w:rPr>
          <w:rFonts w:ascii="inherit" w:eastAsia="Times New Roman" w:hAnsi="inherit" w:cs="Times New Roman" w:hint="eastAsia"/>
          <w:color w:val="000000"/>
        </w:rPr>
        <w:t>.’</w:t>
      </w:r>
      <w:r w:rsidR="00A60EE2">
        <w:rPr>
          <w:rFonts w:ascii="inherit" w:eastAsia="Times New Roman" w:hAnsi="inherit" w:cs="Times New Roman"/>
          <w:color w:val="000000"/>
        </w:rPr>
        <w:t xml:space="preserve"> The following table lists the ELO on the left hand column, and the area of </w:t>
      </w:r>
      <w:r w:rsidR="009706B3">
        <w:rPr>
          <w:rFonts w:ascii="inherit" w:eastAsia="Times New Roman" w:hAnsi="inherit" w:cs="Times New Roman"/>
          <w:color w:val="000000"/>
        </w:rPr>
        <w:t>GC</w:t>
      </w:r>
      <w:r w:rsidR="009706B3">
        <w:rPr>
          <w:rFonts w:ascii="inherit" w:eastAsia="Times New Roman" w:hAnsi="inherit" w:cs="Times New Roman" w:hint="eastAsia"/>
          <w:color w:val="000000"/>
        </w:rPr>
        <w:t>’</w:t>
      </w:r>
      <w:r w:rsidR="009706B3">
        <w:rPr>
          <w:rFonts w:ascii="inherit" w:eastAsia="Times New Roman" w:hAnsi="inherit" w:cs="Times New Roman"/>
          <w:color w:val="000000"/>
        </w:rPr>
        <w:t>s C</w:t>
      </w:r>
      <w:r w:rsidR="00A60EE2">
        <w:rPr>
          <w:rFonts w:ascii="inherit" w:eastAsia="Times New Roman" w:hAnsi="inherit" w:cs="Times New Roman"/>
          <w:color w:val="000000"/>
        </w:rPr>
        <w:t xml:space="preserve">ore </w:t>
      </w:r>
      <w:r w:rsidR="009706B3">
        <w:rPr>
          <w:rFonts w:ascii="inherit" w:eastAsia="Times New Roman" w:hAnsi="inherit" w:cs="Times New Roman"/>
          <w:color w:val="000000"/>
        </w:rPr>
        <w:t xml:space="preserve">Curriculum </w:t>
      </w:r>
      <w:r w:rsidR="00A60EE2">
        <w:rPr>
          <w:rFonts w:ascii="inherit" w:eastAsia="Times New Roman" w:hAnsi="inherit" w:cs="Times New Roman"/>
          <w:color w:val="000000"/>
        </w:rPr>
        <w:t>that meets the ELO in the right hand column.</w:t>
      </w:r>
    </w:p>
    <w:p w14:paraId="667BBE4E" w14:textId="77777777" w:rsidR="00A60EE2" w:rsidRPr="00A60EE2" w:rsidRDefault="00A60EE2" w:rsidP="00A60EE2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76A6A" w14:paraId="45E652C9" w14:textId="77777777" w:rsidTr="00976A6A">
        <w:tc>
          <w:tcPr>
            <w:tcW w:w="4428" w:type="dxa"/>
          </w:tcPr>
          <w:p w14:paraId="07E6ADD9" w14:textId="77777777" w:rsidR="00976A6A" w:rsidRPr="00D7327A" w:rsidRDefault="00E95C2F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</w:rPr>
            </w:pPr>
            <w:r w:rsidRPr="00D7327A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</w:rPr>
              <w:t>LEAP Essential Learning Outcome</w:t>
            </w:r>
          </w:p>
        </w:tc>
        <w:tc>
          <w:tcPr>
            <w:tcW w:w="4428" w:type="dxa"/>
          </w:tcPr>
          <w:p w14:paraId="37A812CF" w14:textId="77777777" w:rsidR="00976A6A" w:rsidRPr="00D7327A" w:rsidRDefault="00E95C2F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</w:rPr>
            </w:pPr>
            <w:r w:rsidRPr="00D7327A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</w:rPr>
              <w:t>GC Core Area that meets th</w:t>
            </w:r>
            <w:r w:rsidR="00D7327A" w:rsidRPr="00D7327A">
              <w:rPr>
                <w:rFonts w:ascii="inherit" w:eastAsia="Times New Roman" w:hAnsi="inherit" w:cs="Times New Roman"/>
                <w:b/>
                <w:color w:val="000000"/>
                <w:sz w:val="32"/>
                <w:szCs w:val="32"/>
              </w:rPr>
              <w:t>e ELO</w:t>
            </w:r>
          </w:p>
        </w:tc>
      </w:tr>
      <w:tr w:rsidR="00976A6A" w14:paraId="6D720C92" w14:textId="77777777" w:rsidTr="00976A6A">
        <w:tc>
          <w:tcPr>
            <w:tcW w:w="4428" w:type="dxa"/>
          </w:tcPr>
          <w:p w14:paraId="3002BCB7" w14:textId="77777777" w:rsidR="00976A6A" w:rsidRPr="00976A6A" w:rsidRDefault="00976A6A" w:rsidP="00976A6A">
            <w:p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A825F8">
              <w:rPr>
                <w:rFonts w:ascii="inherit" w:eastAsia="Times New Roman" w:hAnsi="inherit" w:cs="Times New Roman"/>
                <w:color w:val="000000"/>
              </w:rPr>
              <w:t>Inquiry and analysis</w:t>
            </w:r>
          </w:p>
        </w:tc>
        <w:tc>
          <w:tcPr>
            <w:tcW w:w="4428" w:type="dxa"/>
          </w:tcPr>
          <w:p w14:paraId="740E8E32" w14:textId="77777777" w:rsidR="00976A6A" w:rsidRDefault="00C53432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Area D</w:t>
            </w:r>
          </w:p>
        </w:tc>
      </w:tr>
      <w:tr w:rsidR="00976A6A" w14:paraId="6213C61C" w14:textId="77777777" w:rsidTr="00976A6A">
        <w:tc>
          <w:tcPr>
            <w:tcW w:w="4428" w:type="dxa"/>
          </w:tcPr>
          <w:p w14:paraId="4B593958" w14:textId="77777777" w:rsidR="00976A6A" w:rsidRPr="00976A6A" w:rsidRDefault="00976A6A" w:rsidP="00976A6A">
            <w:p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 w:rsidRPr="00976A6A">
              <w:rPr>
                <w:rFonts w:ascii="inherit" w:eastAsia="Times New Roman" w:hAnsi="inherit" w:cs="Times New Roman"/>
                <w:color w:val="000000"/>
              </w:rPr>
              <w:t>Critical thinking</w:t>
            </w:r>
          </w:p>
        </w:tc>
        <w:tc>
          <w:tcPr>
            <w:tcW w:w="4428" w:type="dxa"/>
          </w:tcPr>
          <w:p w14:paraId="38F9CBFF" w14:textId="77777777" w:rsidR="00976A6A" w:rsidRDefault="00C53432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Area B: GC1Y</w:t>
            </w:r>
          </w:p>
        </w:tc>
      </w:tr>
      <w:tr w:rsidR="00976A6A" w14:paraId="57F26FA3" w14:textId="77777777" w:rsidTr="00976A6A">
        <w:tc>
          <w:tcPr>
            <w:tcW w:w="4428" w:type="dxa"/>
          </w:tcPr>
          <w:p w14:paraId="2BA3FD29" w14:textId="77777777" w:rsidR="00976A6A" w:rsidRDefault="00976A6A" w:rsidP="00976A6A">
            <w:pPr>
              <w:shd w:val="clear" w:color="auto" w:fill="FFFFFF"/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C</w:t>
            </w:r>
            <w:r w:rsidRPr="00976A6A">
              <w:rPr>
                <w:rFonts w:ascii="inherit" w:eastAsia="Times New Roman" w:hAnsi="inherit" w:cs="Times New Roman"/>
                <w:color w:val="000000"/>
              </w:rPr>
              <w:t>reative thinking</w:t>
            </w:r>
          </w:p>
        </w:tc>
        <w:tc>
          <w:tcPr>
            <w:tcW w:w="4428" w:type="dxa"/>
          </w:tcPr>
          <w:p w14:paraId="4D33D154" w14:textId="77777777" w:rsidR="00976A6A" w:rsidRDefault="00C53432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Area C2</w:t>
            </w:r>
          </w:p>
        </w:tc>
      </w:tr>
      <w:tr w:rsidR="00976A6A" w14:paraId="419597DA" w14:textId="77777777" w:rsidTr="00976A6A">
        <w:tc>
          <w:tcPr>
            <w:tcW w:w="4428" w:type="dxa"/>
          </w:tcPr>
          <w:p w14:paraId="0AB19E2E" w14:textId="77777777" w:rsidR="00976A6A" w:rsidRDefault="00976A6A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Written Communication</w:t>
            </w:r>
          </w:p>
        </w:tc>
        <w:tc>
          <w:tcPr>
            <w:tcW w:w="4428" w:type="dxa"/>
          </w:tcPr>
          <w:p w14:paraId="5B0DF5A5" w14:textId="77777777" w:rsidR="00976A6A" w:rsidRDefault="00C53432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Area A1; [Also C1?]</w:t>
            </w:r>
          </w:p>
        </w:tc>
      </w:tr>
      <w:tr w:rsidR="00976A6A" w14:paraId="02663BD3" w14:textId="77777777" w:rsidTr="00976A6A">
        <w:tc>
          <w:tcPr>
            <w:tcW w:w="4428" w:type="dxa"/>
          </w:tcPr>
          <w:p w14:paraId="22EF6907" w14:textId="77777777" w:rsidR="00976A6A" w:rsidRDefault="00976A6A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Oral Communication</w:t>
            </w:r>
          </w:p>
        </w:tc>
        <w:tc>
          <w:tcPr>
            <w:tcW w:w="4428" w:type="dxa"/>
          </w:tcPr>
          <w:p w14:paraId="559CFB6C" w14:textId="77777777" w:rsidR="00976A6A" w:rsidRDefault="00EC561C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</w:tr>
      <w:tr w:rsidR="00976A6A" w14:paraId="7E8BED1C" w14:textId="77777777" w:rsidTr="00976A6A">
        <w:tc>
          <w:tcPr>
            <w:tcW w:w="4428" w:type="dxa"/>
          </w:tcPr>
          <w:p w14:paraId="2711BC1C" w14:textId="77777777" w:rsidR="00976A6A" w:rsidRDefault="00976A6A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Quantitative Literacy</w:t>
            </w:r>
          </w:p>
        </w:tc>
        <w:tc>
          <w:tcPr>
            <w:tcW w:w="4428" w:type="dxa"/>
          </w:tcPr>
          <w:p w14:paraId="6E6A4953" w14:textId="77777777" w:rsidR="00976A6A" w:rsidRDefault="00C53432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Area A2</w:t>
            </w:r>
          </w:p>
        </w:tc>
      </w:tr>
      <w:tr w:rsidR="00976A6A" w14:paraId="2817F1D6" w14:textId="77777777" w:rsidTr="00976A6A">
        <w:tc>
          <w:tcPr>
            <w:tcW w:w="4428" w:type="dxa"/>
          </w:tcPr>
          <w:p w14:paraId="59144408" w14:textId="77777777" w:rsidR="00976A6A" w:rsidRDefault="00E95C2F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Information Literacy</w:t>
            </w:r>
          </w:p>
        </w:tc>
        <w:tc>
          <w:tcPr>
            <w:tcW w:w="4428" w:type="dxa"/>
          </w:tcPr>
          <w:p w14:paraId="7982C04B" w14:textId="77777777" w:rsidR="00976A6A" w:rsidRDefault="00C53432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Area B: GC1Y</w:t>
            </w:r>
          </w:p>
        </w:tc>
      </w:tr>
      <w:tr w:rsidR="00976A6A" w14:paraId="273B776B" w14:textId="77777777" w:rsidTr="00976A6A">
        <w:tc>
          <w:tcPr>
            <w:tcW w:w="4428" w:type="dxa"/>
          </w:tcPr>
          <w:p w14:paraId="39A56A7F" w14:textId="77777777" w:rsidR="00976A6A" w:rsidRDefault="00E95C2F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Teamwork</w:t>
            </w:r>
          </w:p>
        </w:tc>
        <w:tc>
          <w:tcPr>
            <w:tcW w:w="4428" w:type="dxa"/>
          </w:tcPr>
          <w:p w14:paraId="19F3561E" w14:textId="77777777" w:rsidR="00976A6A" w:rsidRDefault="00EC561C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</w:tr>
      <w:tr w:rsidR="00976A6A" w14:paraId="5F46E089" w14:textId="77777777" w:rsidTr="00976A6A">
        <w:tc>
          <w:tcPr>
            <w:tcW w:w="4428" w:type="dxa"/>
          </w:tcPr>
          <w:p w14:paraId="2F611864" w14:textId="77777777" w:rsidR="00976A6A" w:rsidRDefault="00E95C2F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Problem Solving</w:t>
            </w:r>
          </w:p>
        </w:tc>
        <w:tc>
          <w:tcPr>
            <w:tcW w:w="4428" w:type="dxa"/>
          </w:tcPr>
          <w:p w14:paraId="3AF189F9" w14:textId="77777777" w:rsidR="00976A6A" w:rsidRDefault="00C53432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Area D</w:t>
            </w:r>
          </w:p>
        </w:tc>
      </w:tr>
      <w:tr w:rsidR="00E95C2F" w14:paraId="093F840E" w14:textId="77777777" w:rsidTr="00976A6A">
        <w:tc>
          <w:tcPr>
            <w:tcW w:w="4428" w:type="dxa"/>
          </w:tcPr>
          <w:p w14:paraId="3D20C1C2" w14:textId="77777777" w:rsidR="00E95C2F" w:rsidRDefault="00E95C2F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Civic Knowledge (Local and Global)</w:t>
            </w:r>
          </w:p>
        </w:tc>
        <w:tc>
          <w:tcPr>
            <w:tcW w:w="4428" w:type="dxa"/>
          </w:tcPr>
          <w:p w14:paraId="2CB60F16" w14:textId="30455509" w:rsidR="00E95C2F" w:rsidRDefault="00C53432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Local: GA Regents Exam Req</w:t>
            </w:r>
            <w:r w:rsidR="009706B3">
              <w:rPr>
                <w:rFonts w:ascii="inherit" w:eastAsia="Times New Roman" w:hAnsi="inherit" w:cs="Times New Roman"/>
                <w:color w:val="000000"/>
              </w:rPr>
              <w:t>uirement</w:t>
            </w:r>
          </w:p>
          <w:p w14:paraId="5F6D9023" w14:textId="77777777" w:rsidR="00C53432" w:rsidRDefault="00C53432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Global: Area B: GC2Y</w:t>
            </w:r>
          </w:p>
        </w:tc>
      </w:tr>
      <w:tr w:rsidR="00E95C2F" w14:paraId="1D8A30CB" w14:textId="77777777" w:rsidTr="00976A6A">
        <w:tc>
          <w:tcPr>
            <w:tcW w:w="4428" w:type="dxa"/>
          </w:tcPr>
          <w:p w14:paraId="64B9D1CB" w14:textId="77777777" w:rsidR="00E95C2F" w:rsidRDefault="00E95C2F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Civic Engagement (Local and Global)</w:t>
            </w:r>
          </w:p>
        </w:tc>
        <w:tc>
          <w:tcPr>
            <w:tcW w:w="4428" w:type="dxa"/>
          </w:tcPr>
          <w:p w14:paraId="47B2483D" w14:textId="77777777" w:rsidR="00E95C2F" w:rsidRDefault="00EC561C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-</w:t>
            </w:r>
          </w:p>
        </w:tc>
      </w:tr>
      <w:tr w:rsidR="00E95C2F" w14:paraId="047D16CD" w14:textId="77777777" w:rsidTr="00976A6A">
        <w:tc>
          <w:tcPr>
            <w:tcW w:w="4428" w:type="dxa"/>
          </w:tcPr>
          <w:p w14:paraId="597E8D0C" w14:textId="77777777" w:rsidR="00E95C2F" w:rsidRDefault="00E95C2F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Intercultural Knowledge and Competence</w:t>
            </w:r>
          </w:p>
        </w:tc>
        <w:tc>
          <w:tcPr>
            <w:tcW w:w="4428" w:type="dxa"/>
          </w:tcPr>
          <w:p w14:paraId="66F5F321" w14:textId="77777777" w:rsidR="00E95C2F" w:rsidRDefault="00C53432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Area B: GC2Y</w:t>
            </w:r>
          </w:p>
        </w:tc>
      </w:tr>
      <w:tr w:rsidR="00E95C2F" w14:paraId="46DCD47D" w14:textId="77777777" w:rsidTr="00976A6A">
        <w:tc>
          <w:tcPr>
            <w:tcW w:w="4428" w:type="dxa"/>
          </w:tcPr>
          <w:p w14:paraId="4DE079D5" w14:textId="6EDBF5FC" w:rsidR="00E95C2F" w:rsidRDefault="00E95C2F" w:rsidP="009706B3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 xml:space="preserve">Ethical Reasoning </w:t>
            </w:r>
          </w:p>
        </w:tc>
        <w:tc>
          <w:tcPr>
            <w:tcW w:w="4428" w:type="dxa"/>
          </w:tcPr>
          <w:p w14:paraId="37AEC588" w14:textId="77777777" w:rsidR="00E95C2F" w:rsidRDefault="00C53432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Area C1</w:t>
            </w:r>
          </w:p>
        </w:tc>
      </w:tr>
      <w:tr w:rsidR="00E95C2F" w14:paraId="6EC5E722" w14:textId="77777777" w:rsidTr="00976A6A">
        <w:tc>
          <w:tcPr>
            <w:tcW w:w="4428" w:type="dxa"/>
          </w:tcPr>
          <w:p w14:paraId="20D09056" w14:textId="77777777" w:rsidR="00E95C2F" w:rsidRDefault="00E95C2F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Foundation and Skills for Lifelong Learning</w:t>
            </w:r>
          </w:p>
        </w:tc>
        <w:tc>
          <w:tcPr>
            <w:tcW w:w="4428" w:type="dxa"/>
          </w:tcPr>
          <w:p w14:paraId="7C3DED4F" w14:textId="77462F4E" w:rsidR="00E95C2F" w:rsidRDefault="009706B3" w:rsidP="009706B3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>This should be captured by the entire curriculum, rather than a particular area of the Core</w:t>
            </w:r>
          </w:p>
        </w:tc>
      </w:tr>
      <w:tr w:rsidR="00E95C2F" w14:paraId="0D8B6F0B" w14:textId="77777777" w:rsidTr="00976A6A">
        <w:tc>
          <w:tcPr>
            <w:tcW w:w="4428" w:type="dxa"/>
          </w:tcPr>
          <w:p w14:paraId="3940F1DF" w14:textId="77777777" w:rsidR="00E95C2F" w:rsidRDefault="00E95C2F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 xml:space="preserve">Synthesis across general </w:t>
            </w:r>
            <w:r>
              <w:rPr>
                <w:rFonts w:ascii="inherit" w:eastAsia="Times New Roman" w:hAnsi="inherit" w:cs="Times New Roman" w:hint="eastAsia"/>
                <w:color w:val="000000"/>
              </w:rPr>
              <w:t>and</w:t>
            </w:r>
            <w:r>
              <w:rPr>
                <w:rFonts w:ascii="inherit" w:eastAsia="Times New Roman" w:hAnsi="inherit" w:cs="Times New Roman"/>
                <w:color w:val="000000"/>
              </w:rPr>
              <w:t xml:space="preserve"> specialized Studies</w:t>
            </w:r>
          </w:p>
        </w:tc>
        <w:tc>
          <w:tcPr>
            <w:tcW w:w="4428" w:type="dxa"/>
          </w:tcPr>
          <w:p w14:paraId="0B8BCEDB" w14:textId="36A9D6DD" w:rsidR="00E95C2F" w:rsidRDefault="00C53432" w:rsidP="00976A6A">
            <w:pPr>
              <w:spacing w:after="120"/>
              <w:ind w:right="300"/>
              <w:textAlignment w:val="baseline"/>
              <w:rPr>
                <w:rFonts w:ascii="inherit" w:eastAsia="Times New Roman" w:hAnsi="inherit" w:cs="Times New Roman"/>
                <w:color w:val="000000"/>
              </w:rPr>
            </w:pPr>
            <w:r>
              <w:rPr>
                <w:rFonts w:ascii="inherit" w:eastAsia="Times New Roman" w:hAnsi="inherit" w:cs="Times New Roman"/>
                <w:color w:val="000000"/>
              </w:rPr>
              <w:t xml:space="preserve">Capstones within the Major. [Information on this is </w:t>
            </w:r>
            <w:r w:rsidR="009706B3">
              <w:rPr>
                <w:rFonts w:ascii="inherit" w:eastAsia="Times New Roman" w:hAnsi="inherit" w:cs="Times New Roman"/>
                <w:color w:val="000000"/>
              </w:rPr>
              <w:t>being gathered by the Registrar</w:t>
            </w:r>
            <w:r w:rsidR="009706B3">
              <w:rPr>
                <w:rFonts w:ascii="inherit" w:eastAsia="Times New Roman" w:hAnsi="inherit" w:cs="Times New Roman" w:hint="eastAsia"/>
                <w:color w:val="000000"/>
              </w:rPr>
              <w:t>’</w:t>
            </w:r>
            <w:r w:rsidR="009706B3">
              <w:rPr>
                <w:rFonts w:ascii="inherit" w:eastAsia="Times New Roman" w:hAnsi="inherit" w:cs="Times New Roman"/>
                <w:color w:val="000000"/>
              </w:rPr>
              <w:t xml:space="preserve">s office and </w:t>
            </w:r>
            <w:r w:rsidR="009706B3">
              <w:rPr>
                <w:rFonts w:ascii="inherit" w:eastAsia="Times New Roman" w:hAnsi="inherit" w:cs="Times New Roman" w:hint="eastAsia"/>
                <w:color w:val="000000"/>
              </w:rPr>
              <w:t>should</w:t>
            </w:r>
            <w:r w:rsidR="009706B3">
              <w:rPr>
                <w:rFonts w:ascii="inherit" w:eastAsia="Times New Roman" w:hAnsi="inherit" w:cs="Times New Roman"/>
                <w:color w:val="000000"/>
              </w:rPr>
              <w:t xml:space="preserve"> be </w:t>
            </w:r>
            <w:r>
              <w:rPr>
                <w:rFonts w:ascii="inherit" w:eastAsia="Times New Roman" w:hAnsi="inherit" w:cs="Times New Roman"/>
                <w:color w:val="000000"/>
              </w:rPr>
              <w:t>forthcoming]</w:t>
            </w:r>
          </w:p>
        </w:tc>
      </w:tr>
    </w:tbl>
    <w:p w14:paraId="392FB769" w14:textId="77777777" w:rsidR="00976A6A" w:rsidRDefault="00976A6A" w:rsidP="00976A6A">
      <w:pPr>
        <w:shd w:val="clear" w:color="auto" w:fill="FFFFFF"/>
        <w:spacing w:after="120"/>
        <w:ind w:right="300"/>
        <w:textAlignment w:val="baseline"/>
        <w:rPr>
          <w:rFonts w:ascii="inherit" w:eastAsia="Times New Roman" w:hAnsi="inherit" w:cs="Times New Roman"/>
          <w:color w:val="000000"/>
        </w:rPr>
      </w:pPr>
    </w:p>
    <w:p w14:paraId="769C1CBF" w14:textId="0101D5E0" w:rsidR="00C53432" w:rsidRDefault="00C53432" w:rsidP="00976A6A">
      <w:pPr>
        <w:shd w:val="clear" w:color="auto" w:fill="FFFFFF"/>
        <w:spacing w:after="120"/>
        <w:ind w:right="300"/>
        <w:textAlignment w:val="baseline"/>
        <w:rPr>
          <w:rFonts w:ascii="inherit" w:eastAsia="Times New Roman" w:hAnsi="inherit" w:cs="Times New Roman"/>
          <w:color w:val="000000"/>
        </w:rPr>
      </w:pPr>
      <w:r>
        <w:rPr>
          <w:rFonts w:ascii="inherit" w:eastAsia="Times New Roman" w:hAnsi="inherit" w:cs="Times New Roman"/>
          <w:color w:val="000000"/>
        </w:rPr>
        <w:lastRenderedPageBreak/>
        <w:t xml:space="preserve">Thus, our Core Curriculum incorporates most of the LEAP ELOs, except for three. The GEC had the following discussion about the three ELOs that we do not currently guarantee </w:t>
      </w:r>
      <w:r w:rsidR="00961CEF">
        <w:rPr>
          <w:rFonts w:ascii="inherit" w:eastAsia="Times New Roman" w:hAnsi="inherit" w:cs="Times New Roman"/>
          <w:color w:val="000000"/>
        </w:rPr>
        <w:t>for all our students</w:t>
      </w:r>
      <w:r>
        <w:rPr>
          <w:rFonts w:ascii="inherit" w:eastAsia="Times New Roman" w:hAnsi="inherit" w:cs="Times New Roman"/>
          <w:color w:val="000000"/>
        </w:rPr>
        <w:t>:</w:t>
      </w:r>
    </w:p>
    <w:p w14:paraId="5E07B0EA" w14:textId="0C8F341D" w:rsidR="00D7327A" w:rsidRDefault="00C53432" w:rsidP="00976A6A">
      <w:pPr>
        <w:shd w:val="clear" w:color="auto" w:fill="FFFFFF"/>
        <w:spacing w:after="120"/>
        <w:ind w:right="300"/>
        <w:textAlignment w:val="baseline"/>
        <w:rPr>
          <w:rFonts w:ascii="inherit" w:eastAsia="Times New Roman" w:hAnsi="inherit" w:cs="Times New Roman"/>
          <w:color w:val="000000"/>
        </w:rPr>
      </w:pPr>
      <w:r w:rsidRPr="00A60EE2">
        <w:rPr>
          <w:rFonts w:ascii="inherit" w:eastAsia="Times New Roman" w:hAnsi="inherit" w:cs="Times New Roman"/>
          <w:b/>
          <w:color w:val="000000"/>
        </w:rPr>
        <w:t>Oral Communication</w:t>
      </w:r>
      <w:r>
        <w:rPr>
          <w:rFonts w:ascii="inherit" w:eastAsia="Times New Roman" w:hAnsi="inherit" w:cs="Times New Roman"/>
          <w:color w:val="000000"/>
        </w:rPr>
        <w:t xml:space="preserve">: </w:t>
      </w:r>
      <w:r w:rsidR="00D7327A">
        <w:rPr>
          <w:rFonts w:ascii="inherit" w:eastAsia="Times New Roman" w:hAnsi="inherit" w:cs="Times New Roman"/>
          <w:color w:val="000000"/>
        </w:rPr>
        <w:t xml:space="preserve">This might be incorporated in one of the areas of the core rather easily. The GEC proposes that we engage in a wider discussion on campus about ways to incorporate </w:t>
      </w:r>
      <w:r w:rsidR="00A60EE2">
        <w:rPr>
          <w:rFonts w:ascii="inherit" w:eastAsia="Times New Roman" w:hAnsi="inherit" w:cs="Times New Roman"/>
          <w:color w:val="000000"/>
        </w:rPr>
        <w:t>oral communication</w:t>
      </w:r>
      <w:r w:rsidR="00D7327A">
        <w:rPr>
          <w:rFonts w:ascii="inherit" w:eastAsia="Times New Roman" w:hAnsi="inherit" w:cs="Times New Roman"/>
          <w:color w:val="000000"/>
        </w:rPr>
        <w:t xml:space="preserve"> in our Core Curriculum.</w:t>
      </w:r>
    </w:p>
    <w:p w14:paraId="681ADFA4" w14:textId="1F9D43C7" w:rsidR="00C53432" w:rsidRDefault="00D7327A" w:rsidP="00976A6A">
      <w:pPr>
        <w:shd w:val="clear" w:color="auto" w:fill="FFFFFF"/>
        <w:spacing w:after="120"/>
        <w:ind w:right="300"/>
        <w:textAlignment w:val="baseline"/>
        <w:rPr>
          <w:rFonts w:ascii="inherit" w:eastAsia="Times New Roman" w:hAnsi="inherit" w:cs="Times New Roman"/>
          <w:color w:val="000000"/>
        </w:rPr>
      </w:pPr>
      <w:r w:rsidRPr="00A60EE2">
        <w:rPr>
          <w:rFonts w:ascii="inherit" w:eastAsia="Times New Roman" w:hAnsi="inherit" w:cs="Times New Roman"/>
          <w:b/>
          <w:color w:val="000000"/>
        </w:rPr>
        <w:t>Team Work</w:t>
      </w:r>
      <w:r>
        <w:rPr>
          <w:rFonts w:ascii="inherit" w:eastAsia="Times New Roman" w:hAnsi="inherit" w:cs="Times New Roman"/>
          <w:color w:val="000000"/>
        </w:rPr>
        <w:t xml:space="preserve">: The GEC proposed inviting all faculty currently teaching GC2Y courses to </w:t>
      </w:r>
      <w:r w:rsidR="009706B3">
        <w:rPr>
          <w:rFonts w:ascii="inherit" w:eastAsia="Times New Roman" w:hAnsi="inherit" w:cs="Times New Roman"/>
          <w:color w:val="000000"/>
        </w:rPr>
        <w:t>discuss</w:t>
      </w:r>
      <w:r>
        <w:rPr>
          <w:rFonts w:ascii="inherit" w:eastAsia="Times New Roman" w:hAnsi="inherit" w:cs="Times New Roman"/>
          <w:color w:val="000000"/>
        </w:rPr>
        <w:t xml:space="preserve"> if they would be amenable to using the </w:t>
      </w:r>
      <w:r>
        <w:rPr>
          <w:rFonts w:ascii="inherit" w:eastAsia="Times New Roman" w:hAnsi="inherit" w:cs="Times New Roman" w:hint="eastAsia"/>
          <w:color w:val="000000"/>
        </w:rPr>
        <w:t>“</w:t>
      </w:r>
      <w:r>
        <w:rPr>
          <w:rFonts w:ascii="inherit" w:eastAsia="Times New Roman" w:hAnsi="inherit" w:cs="Times New Roman"/>
          <w:color w:val="000000"/>
        </w:rPr>
        <w:t>fourth hour</w:t>
      </w:r>
      <w:r>
        <w:rPr>
          <w:rFonts w:ascii="inherit" w:eastAsia="Times New Roman" w:hAnsi="inherit" w:cs="Times New Roman" w:hint="eastAsia"/>
          <w:color w:val="000000"/>
        </w:rPr>
        <w:t>”</w:t>
      </w:r>
      <w:r>
        <w:rPr>
          <w:rFonts w:ascii="inherit" w:eastAsia="Times New Roman" w:hAnsi="inherit" w:cs="Times New Roman"/>
          <w:color w:val="000000"/>
        </w:rPr>
        <w:t xml:space="preserve"> to incorporate assignments involving team work such as group presentations. </w:t>
      </w:r>
      <w:r w:rsidR="00A60EE2">
        <w:rPr>
          <w:rFonts w:ascii="inherit" w:eastAsia="Times New Roman" w:hAnsi="inherit" w:cs="Times New Roman"/>
          <w:color w:val="000000"/>
        </w:rPr>
        <w:t>[Perhaps this would also include oral communication?]</w:t>
      </w:r>
    </w:p>
    <w:p w14:paraId="6A02803A" w14:textId="66FF75D7" w:rsidR="00D7327A" w:rsidRPr="00A825F8" w:rsidRDefault="00D7327A" w:rsidP="00976A6A">
      <w:pPr>
        <w:shd w:val="clear" w:color="auto" w:fill="FFFFFF"/>
        <w:spacing w:after="120"/>
        <w:ind w:right="300"/>
        <w:textAlignment w:val="baseline"/>
        <w:rPr>
          <w:rFonts w:ascii="inherit" w:eastAsia="Times New Roman" w:hAnsi="inherit" w:cs="Times New Roman"/>
          <w:color w:val="000000"/>
        </w:rPr>
      </w:pPr>
      <w:r w:rsidRPr="009706B3">
        <w:rPr>
          <w:rFonts w:ascii="inherit" w:eastAsia="Times New Roman" w:hAnsi="inherit" w:cs="Times New Roman"/>
          <w:b/>
          <w:color w:val="000000"/>
        </w:rPr>
        <w:t>Civic Engagement</w:t>
      </w:r>
      <w:r>
        <w:rPr>
          <w:rFonts w:ascii="inherit" w:eastAsia="Times New Roman" w:hAnsi="inherit" w:cs="Times New Roman"/>
          <w:color w:val="000000"/>
        </w:rPr>
        <w:t>: The GEC discussed the logistical challenges of providing Civic</w:t>
      </w:r>
      <w:r w:rsidR="00A60EE2">
        <w:rPr>
          <w:rFonts w:ascii="inherit" w:eastAsia="Times New Roman" w:hAnsi="inherit" w:cs="Times New Roman"/>
          <w:color w:val="000000"/>
        </w:rPr>
        <w:t xml:space="preserve"> Engagement Opportunities for </w:t>
      </w:r>
      <w:r w:rsidR="009706B3">
        <w:rPr>
          <w:rFonts w:ascii="inherit" w:eastAsia="Times New Roman" w:hAnsi="inherit" w:cs="Times New Roman" w:hint="eastAsia"/>
          <w:color w:val="000000"/>
        </w:rPr>
        <w:t>over</w:t>
      </w:r>
      <w:r w:rsidR="009706B3">
        <w:rPr>
          <w:rFonts w:ascii="inherit" w:eastAsia="Times New Roman" w:hAnsi="inherit" w:cs="Times New Roman"/>
          <w:color w:val="000000"/>
        </w:rPr>
        <w:t xml:space="preserve"> 1000</w:t>
      </w:r>
      <w:r>
        <w:rPr>
          <w:rFonts w:ascii="inherit" w:eastAsia="Times New Roman" w:hAnsi="inherit" w:cs="Times New Roman"/>
          <w:color w:val="000000"/>
        </w:rPr>
        <w:t xml:space="preserve"> students each year, and having a means to tabulate it. </w:t>
      </w:r>
      <w:r w:rsidR="009706B3">
        <w:rPr>
          <w:rFonts w:ascii="inherit" w:eastAsia="Times New Roman" w:hAnsi="inherit" w:cs="Times New Roman"/>
          <w:color w:val="000000"/>
        </w:rPr>
        <w:t>Given the logistical challenges w</w:t>
      </w:r>
      <w:r>
        <w:rPr>
          <w:rFonts w:ascii="inherit" w:eastAsia="Times New Roman" w:hAnsi="inherit" w:cs="Times New Roman"/>
          <w:color w:val="000000"/>
        </w:rPr>
        <w:t>e thought that this was an element that was best left as one of several possible engaged learning opportunities for students without requiring it within the core curriculum.</w:t>
      </w:r>
    </w:p>
    <w:p w14:paraId="7CFE0F40" w14:textId="77777777" w:rsidR="00976A6A" w:rsidRPr="00A825F8" w:rsidRDefault="00976A6A">
      <w:pPr>
        <w:rPr>
          <w:rFonts w:ascii="Times New Roman" w:hAnsi="Times New Roman" w:cs="Times New Roman"/>
        </w:rPr>
      </w:pPr>
    </w:p>
    <w:sectPr w:rsidR="00976A6A" w:rsidRPr="00A825F8" w:rsidSect="00A461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7553"/>
    <w:multiLevelType w:val="multilevel"/>
    <w:tmpl w:val="6ED0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95B38"/>
    <w:multiLevelType w:val="multilevel"/>
    <w:tmpl w:val="7C7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01FB7"/>
    <w:multiLevelType w:val="multilevel"/>
    <w:tmpl w:val="B9D2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61DB6"/>
    <w:multiLevelType w:val="multilevel"/>
    <w:tmpl w:val="1888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4285C"/>
    <w:multiLevelType w:val="multilevel"/>
    <w:tmpl w:val="3C1E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B0E45"/>
    <w:multiLevelType w:val="multilevel"/>
    <w:tmpl w:val="272A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C1DE0"/>
    <w:multiLevelType w:val="multilevel"/>
    <w:tmpl w:val="862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E95AFA"/>
    <w:multiLevelType w:val="multilevel"/>
    <w:tmpl w:val="07EE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B25DA5"/>
    <w:multiLevelType w:val="multilevel"/>
    <w:tmpl w:val="9846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44CA6"/>
    <w:multiLevelType w:val="multilevel"/>
    <w:tmpl w:val="8210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F8"/>
    <w:rsid w:val="0002622D"/>
    <w:rsid w:val="00671903"/>
    <w:rsid w:val="00961CEF"/>
    <w:rsid w:val="009706B3"/>
    <w:rsid w:val="00976A6A"/>
    <w:rsid w:val="00A4615B"/>
    <w:rsid w:val="00A60EE2"/>
    <w:rsid w:val="00A825F8"/>
    <w:rsid w:val="00C11C80"/>
    <w:rsid w:val="00C53432"/>
    <w:rsid w:val="00D7327A"/>
    <w:rsid w:val="00E95C2F"/>
    <w:rsid w:val="00EC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8534A"/>
  <w14:defaultImageDpi w14:val="300"/>
  <w15:docId w15:val="{43B629AC-BB6A-4E58-9E6D-A90ACA61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5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825F8"/>
    <w:rPr>
      <w:b/>
      <w:bCs/>
    </w:rPr>
  </w:style>
  <w:style w:type="character" w:styleId="Emphasis">
    <w:name w:val="Emphasis"/>
    <w:basedOn w:val="DefaultParagraphFont"/>
    <w:uiPriority w:val="20"/>
    <w:qFormat/>
    <w:rsid w:val="00A825F8"/>
    <w:rPr>
      <w:i/>
      <w:iCs/>
    </w:rPr>
  </w:style>
  <w:style w:type="table" w:styleId="TableGrid">
    <w:name w:val="Table Grid"/>
    <w:basedOn w:val="TableNormal"/>
    <w:uiPriority w:val="59"/>
    <w:rsid w:val="00976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Manian</dc:creator>
  <cp:keywords/>
  <dc:description/>
  <cp:lastModifiedBy>shannon gardner</cp:lastModifiedBy>
  <cp:revision>2</cp:revision>
  <dcterms:created xsi:type="dcterms:W3CDTF">2019-01-25T19:07:00Z</dcterms:created>
  <dcterms:modified xsi:type="dcterms:W3CDTF">2019-01-25T19:07:00Z</dcterms:modified>
</cp:coreProperties>
</file>