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60" w:rsidRDefault="00094A60">
      <w:pPr>
        <w:pStyle w:val="BodyText"/>
        <w:rPr>
          <w:rFonts w:ascii="Times New Roman"/>
          <w:sz w:val="20"/>
        </w:rPr>
      </w:pPr>
      <w:bookmarkStart w:id="0" w:name="_GoBack"/>
      <w:bookmarkEnd w:id="0"/>
    </w:p>
    <w:p w:rsidR="00094A60" w:rsidRDefault="000C5E77">
      <w:pPr>
        <w:spacing w:before="153"/>
        <w:ind w:left="956" w:right="956"/>
        <w:jc w:val="center"/>
        <w:rPr>
          <w:b/>
          <w:sz w:val="42"/>
        </w:rPr>
      </w:pPr>
      <w:r>
        <w:rPr>
          <w:b/>
          <w:sz w:val="52"/>
        </w:rPr>
        <w:t>F</w:t>
      </w:r>
      <w:r>
        <w:rPr>
          <w:b/>
          <w:sz w:val="42"/>
        </w:rPr>
        <w:t xml:space="preserve">ACULTY </w:t>
      </w:r>
      <w:r>
        <w:rPr>
          <w:b/>
          <w:sz w:val="52"/>
        </w:rPr>
        <w:t>S</w:t>
      </w:r>
      <w:r>
        <w:rPr>
          <w:b/>
          <w:sz w:val="42"/>
        </w:rPr>
        <w:t xml:space="preserve">ALARY </w:t>
      </w:r>
      <w:r>
        <w:rPr>
          <w:b/>
          <w:sz w:val="52"/>
        </w:rPr>
        <w:t>S</w:t>
      </w:r>
      <w:r>
        <w:rPr>
          <w:b/>
          <w:sz w:val="42"/>
        </w:rPr>
        <w:t>TUDY</w:t>
      </w:r>
    </w:p>
    <w:p w:rsidR="00094A60" w:rsidRDefault="000C5E77">
      <w:pPr>
        <w:spacing w:before="205"/>
        <w:ind w:left="959" w:right="956"/>
        <w:jc w:val="center"/>
        <w:rPr>
          <w:b/>
        </w:rPr>
      </w:pPr>
      <w:r>
        <w:rPr>
          <w:b/>
          <w:sz w:val="28"/>
        </w:rPr>
        <w:t>2018-2019 G</w:t>
      </w:r>
      <w:r>
        <w:rPr>
          <w:b/>
        </w:rPr>
        <w:t xml:space="preserve">EORGIA </w:t>
      </w:r>
      <w:r>
        <w:rPr>
          <w:b/>
          <w:sz w:val="28"/>
        </w:rPr>
        <w:t>C</w:t>
      </w:r>
      <w:r>
        <w:rPr>
          <w:b/>
        </w:rPr>
        <w:t xml:space="preserve">OLLEGE </w:t>
      </w:r>
      <w:r>
        <w:rPr>
          <w:b/>
          <w:sz w:val="28"/>
        </w:rPr>
        <w:t>&amp; S</w:t>
      </w:r>
      <w:r>
        <w:rPr>
          <w:b/>
        </w:rPr>
        <w:t xml:space="preserve">TATE </w:t>
      </w:r>
      <w:r>
        <w:rPr>
          <w:b/>
          <w:sz w:val="28"/>
        </w:rPr>
        <w:t>U</w:t>
      </w:r>
      <w:r>
        <w:rPr>
          <w:b/>
        </w:rPr>
        <w:t>NIVERSITY</w:t>
      </w:r>
    </w:p>
    <w:p w:rsidR="00094A60" w:rsidRDefault="000C5E77">
      <w:pPr>
        <w:pStyle w:val="BodyText"/>
        <w:spacing w:before="181"/>
        <w:ind w:left="956" w:right="956"/>
        <w:jc w:val="center"/>
      </w:pPr>
      <w:r>
        <w:t>May 15, 2019</w:t>
      </w:r>
    </w:p>
    <w:p w:rsidR="00094A60" w:rsidRDefault="000C5E77">
      <w:pPr>
        <w:pStyle w:val="BodyText"/>
        <w:spacing w:before="178" w:line="398" w:lineRule="auto"/>
        <w:ind w:left="3489" w:right="3469" w:firstLine="647"/>
      </w:pPr>
      <w:r>
        <w:t xml:space="preserve">Prepared </w:t>
      </w:r>
      <w:proofErr w:type="gramStart"/>
      <w:r>
        <w:t>For</w:t>
      </w:r>
      <w:proofErr w:type="gramEnd"/>
      <w:r>
        <w:t xml:space="preserve"> President Steve M. Dorman</w:t>
      </w:r>
    </w:p>
    <w:p w:rsidR="00094A60" w:rsidRDefault="000C5E77">
      <w:pPr>
        <w:pStyle w:val="BodyText"/>
        <w:ind w:left="956" w:right="956"/>
        <w:jc w:val="center"/>
      </w:pPr>
      <w:bookmarkStart w:id="1" w:name="Draft_Total_Rewards_Philosophy_Total_Rew"/>
      <w:bookmarkEnd w:id="1"/>
      <w:r>
        <w:t>Prepared By</w:t>
      </w:r>
    </w:p>
    <w:p w:rsidR="00094A60" w:rsidRDefault="000C5E77">
      <w:pPr>
        <w:pStyle w:val="BodyText"/>
        <w:spacing w:before="178" w:line="400" w:lineRule="auto"/>
        <w:ind w:left="3069" w:right="3066"/>
        <w:jc w:val="center"/>
      </w:pPr>
      <w:r>
        <w:t>The Faculty Salary Review Task Force Chair Mr. Russell Williams</w:t>
      </w:r>
    </w:p>
    <w:p w:rsidR="00094A60" w:rsidRDefault="000C5E77">
      <w:pPr>
        <w:pStyle w:val="BodyText"/>
        <w:spacing w:line="398" w:lineRule="auto"/>
        <w:ind w:left="959" w:right="956"/>
        <w:jc w:val="center"/>
      </w:pPr>
      <w:r>
        <w:t>Members Dr. Robert Blumenthal, Dr. Sallie Coke, Mr. Neil Jones, Dr. John R. Swinton Ex Officio Members Mrs. Susan Allen, Dr. Kelli Brown, Dr. Craig Turner</w:t>
      </w:r>
    </w:p>
    <w:p w:rsidR="00094A60" w:rsidRDefault="00094A60">
      <w:pPr>
        <w:pStyle w:val="BodyText"/>
        <w:rPr>
          <w:sz w:val="20"/>
        </w:rPr>
      </w:pPr>
    </w:p>
    <w:p w:rsidR="00094A60" w:rsidRDefault="00094A60">
      <w:pPr>
        <w:pStyle w:val="BodyText"/>
        <w:rPr>
          <w:sz w:val="20"/>
        </w:rPr>
      </w:pPr>
    </w:p>
    <w:p w:rsidR="00094A60" w:rsidRDefault="00094A60">
      <w:pPr>
        <w:pStyle w:val="BodyText"/>
        <w:rPr>
          <w:sz w:val="20"/>
        </w:rPr>
      </w:pPr>
    </w:p>
    <w:p w:rsidR="00094A60" w:rsidRDefault="000C5E77">
      <w:pPr>
        <w:pStyle w:val="BodyText"/>
        <w:rPr>
          <w:sz w:val="10"/>
        </w:rPr>
      </w:pPr>
      <w:r>
        <w:rPr>
          <w:noProof/>
        </w:rPr>
        <w:drawing>
          <wp:anchor distT="0" distB="0" distL="0" distR="0" simplePos="0" relativeHeight="251658240" behindDoc="0" locked="0" layoutInCell="1" allowOverlap="1">
            <wp:simplePos x="0" y="0"/>
            <wp:positionH relativeFrom="page">
              <wp:posOffset>952500</wp:posOffset>
            </wp:positionH>
            <wp:positionV relativeFrom="paragraph">
              <wp:posOffset>102373</wp:posOffset>
            </wp:positionV>
            <wp:extent cx="5773747" cy="2924365"/>
            <wp:effectExtent l="0" t="0" r="0" b="0"/>
            <wp:wrapTopAndBottom/>
            <wp:docPr id="1" name="image1.jpeg" descr="E:\Faculty Salary Study\pictures\Front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73747" cy="2924365"/>
                    </a:xfrm>
                    <a:prstGeom prst="rect">
                      <a:avLst/>
                    </a:prstGeom>
                  </pic:spPr>
                </pic:pic>
              </a:graphicData>
            </a:graphic>
          </wp:anchor>
        </w:drawing>
      </w:r>
    </w:p>
    <w:p w:rsidR="00094A60" w:rsidRDefault="00094A60">
      <w:pPr>
        <w:rPr>
          <w:sz w:val="10"/>
        </w:rPr>
        <w:sectPr w:rsidR="00094A60">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400" w:bottom="280" w:left="1400" w:header="720" w:footer="720" w:gutter="0"/>
          <w:cols w:space="720"/>
        </w:sectPr>
      </w:pPr>
    </w:p>
    <w:p w:rsidR="00094A60" w:rsidRDefault="000C5E77">
      <w:pPr>
        <w:pStyle w:val="BodyText"/>
        <w:spacing w:before="39"/>
        <w:ind w:left="88" w:right="46"/>
        <w:jc w:val="center"/>
      </w:pPr>
      <w:r>
        <w:lastRenderedPageBreak/>
        <w:t>Table of Contents</w:t>
      </w:r>
    </w:p>
    <w:p w:rsidR="00094A60" w:rsidRDefault="00094A60">
      <w:pPr>
        <w:pStyle w:val="BodyText"/>
        <w:spacing w:before="11"/>
        <w:rPr>
          <w:sz w:val="9"/>
        </w:rPr>
      </w:pPr>
    </w:p>
    <w:sdt>
      <w:sdtPr>
        <w:id w:val="765276455"/>
        <w:docPartObj>
          <w:docPartGallery w:val="Table of Contents"/>
          <w:docPartUnique/>
        </w:docPartObj>
      </w:sdtPr>
      <w:sdtEndPr/>
      <w:sdtContent>
        <w:p w:rsidR="00094A60" w:rsidRDefault="000C5E77">
          <w:pPr>
            <w:pStyle w:val="TOC7"/>
            <w:tabs>
              <w:tab w:val="left" w:leader="dot" w:pos="9320"/>
            </w:tabs>
            <w:spacing w:line="398" w:lineRule="auto"/>
          </w:pPr>
          <w:r>
            <w:t>Page List</w:t>
          </w:r>
          <w:r>
            <w:rPr>
              <w:spacing w:val="-3"/>
            </w:rPr>
            <w:t xml:space="preserve"> </w:t>
          </w:r>
          <w:r>
            <w:t>of</w:t>
          </w:r>
          <w:r>
            <w:rPr>
              <w:spacing w:val="-1"/>
            </w:rPr>
            <w:t xml:space="preserve"> </w:t>
          </w:r>
          <w:r>
            <w:t>Tables</w:t>
          </w:r>
          <w:r>
            <w:tab/>
          </w:r>
          <w:proofErr w:type="spellStart"/>
          <w:r>
            <w:t>i</w:t>
          </w:r>
          <w:proofErr w:type="spellEnd"/>
        </w:p>
        <w:p w:rsidR="00094A60" w:rsidRDefault="000C5E77">
          <w:pPr>
            <w:pStyle w:val="TOC1"/>
            <w:tabs>
              <w:tab w:val="left" w:leader="dot" w:pos="9170"/>
            </w:tabs>
            <w:ind w:right="46"/>
          </w:pPr>
          <w:r>
            <w:t>List</w:t>
          </w:r>
          <w:r>
            <w:rPr>
              <w:spacing w:val="-3"/>
            </w:rPr>
            <w:t xml:space="preserve"> </w:t>
          </w:r>
          <w:r>
            <w:t>of</w:t>
          </w:r>
          <w:r>
            <w:rPr>
              <w:spacing w:val="-1"/>
            </w:rPr>
            <w:t xml:space="preserve"> </w:t>
          </w:r>
          <w:r>
            <w:t>Figures</w:t>
          </w:r>
          <w:r>
            <w:tab/>
            <w:t>ii</w:t>
          </w:r>
        </w:p>
        <w:p w:rsidR="00094A60" w:rsidRDefault="0069754F">
          <w:pPr>
            <w:pStyle w:val="TOC1"/>
            <w:tabs>
              <w:tab w:val="left" w:leader="dot" w:pos="9160"/>
            </w:tabs>
            <w:spacing w:before="178"/>
          </w:pPr>
          <w:hyperlink w:anchor="_TOC_250016" w:history="1">
            <w:r w:rsidR="000C5E77">
              <w:t>Executive</w:t>
            </w:r>
            <w:r w:rsidR="000C5E77">
              <w:rPr>
                <w:spacing w:val="-3"/>
              </w:rPr>
              <w:t xml:space="preserve"> </w:t>
            </w:r>
            <w:r w:rsidR="000C5E77">
              <w:t>Summary</w:t>
            </w:r>
            <w:r w:rsidR="000C5E77">
              <w:tab/>
              <w:t>1</w:t>
            </w:r>
          </w:hyperlink>
        </w:p>
        <w:p w:rsidR="00094A60" w:rsidRDefault="0069754F">
          <w:pPr>
            <w:pStyle w:val="TOC2"/>
            <w:numPr>
              <w:ilvl w:val="0"/>
              <w:numId w:val="5"/>
            </w:numPr>
            <w:tabs>
              <w:tab w:val="left" w:pos="1001"/>
              <w:tab w:val="left" w:leader="dot" w:pos="9261"/>
            </w:tabs>
            <w:spacing w:before="178"/>
            <w:ind w:hanging="720"/>
          </w:pPr>
          <w:hyperlink w:anchor="_TOC_250015" w:history="1">
            <w:r w:rsidR="000C5E77">
              <w:t>Introduction</w:t>
            </w:r>
            <w:r w:rsidR="000C5E77">
              <w:tab/>
              <w:t>2</w:t>
            </w:r>
          </w:hyperlink>
        </w:p>
        <w:p w:rsidR="00094A60" w:rsidRDefault="0069754F">
          <w:pPr>
            <w:pStyle w:val="TOC2"/>
            <w:numPr>
              <w:ilvl w:val="0"/>
              <w:numId w:val="5"/>
            </w:numPr>
            <w:tabs>
              <w:tab w:val="left" w:pos="1001"/>
              <w:tab w:val="left" w:leader="dot" w:pos="9261"/>
            </w:tabs>
            <w:ind w:hanging="720"/>
          </w:pPr>
          <w:hyperlink w:anchor="_TOC_250014" w:history="1">
            <w:r w:rsidR="000C5E77">
              <w:t>Background</w:t>
            </w:r>
            <w:r w:rsidR="000C5E77">
              <w:tab/>
              <w:t>2</w:t>
            </w:r>
          </w:hyperlink>
        </w:p>
        <w:p w:rsidR="00094A60" w:rsidRDefault="0069754F">
          <w:pPr>
            <w:pStyle w:val="TOC2"/>
            <w:numPr>
              <w:ilvl w:val="0"/>
              <w:numId w:val="5"/>
            </w:numPr>
            <w:tabs>
              <w:tab w:val="left" w:pos="1001"/>
              <w:tab w:val="left" w:leader="dot" w:pos="9261"/>
            </w:tabs>
            <w:spacing w:before="19"/>
            <w:ind w:hanging="720"/>
          </w:pPr>
          <w:hyperlink w:anchor="_TOC_250013" w:history="1">
            <w:r w:rsidR="000C5E77">
              <w:t>Review</w:t>
            </w:r>
            <w:r w:rsidR="000C5E77">
              <w:rPr>
                <w:spacing w:val="-2"/>
              </w:rPr>
              <w:t xml:space="preserve"> </w:t>
            </w:r>
            <w:r w:rsidR="000C5E77">
              <w:t>of</w:t>
            </w:r>
            <w:r w:rsidR="000C5E77">
              <w:rPr>
                <w:spacing w:val="-2"/>
              </w:rPr>
              <w:t xml:space="preserve"> </w:t>
            </w:r>
            <w:r w:rsidR="000C5E77">
              <w:t>Process</w:t>
            </w:r>
            <w:r w:rsidR="000C5E77">
              <w:tab/>
              <w:t>3</w:t>
            </w:r>
          </w:hyperlink>
        </w:p>
        <w:p w:rsidR="00094A60" w:rsidRDefault="0069754F">
          <w:pPr>
            <w:pStyle w:val="TOC6"/>
            <w:numPr>
              <w:ilvl w:val="1"/>
              <w:numId w:val="5"/>
            </w:numPr>
            <w:tabs>
              <w:tab w:val="left" w:pos="1541"/>
              <w:tab w:val="left" w:leader="dot" w:pos="9114"/>
            </w:tabs>
            <w:jc w:val="center"/>
          </w:pPr>
          <w:hyperlink w:anchor="_TOC_250012" w:history="1">
            <w:r w:rsidR="000C5E77">
              <w:t>Challenges</w:t>
            </w:r>
            <w:r w:rsidR="000C5E77">
              <w:tab/>
              <w:t>3</w:t>
            </w:r>
          </w:hyperlink>
        </w:p>
        <w:p w:rsidR="00094A60" w:rsidRDefault="0069754F">
          <w:pPr>
            <w:pStyle w:val="TOC6"/>
            <w:numPr>
              <w:ilvl w:val="1"/>
              <w:numId w:val="5"/>
            </w:numPr>
            <w:tabs>
              <w:tab w:val="left" w:pos="1541"/>
              <w:tab w:val="left" w:leader="dot" w:pos="9114"/>
            </w:tabs>
            <w:spacing w:before="19"/>
            <w:jc w:val="center"/>
          </w:pPr>
          <w:hyperlink w:anchor="_TOC_250011" w:history="1">
            <w:r w:rsidR="000C5E77">
              <w:t>Market</w:t>
            </w:r>
            <w:r w:rsidR="000C5E77">
              <w:rPr>
                <w:spacing w:val="-1"/>
              </w:rPr>
              <w:t xml:space="preserve"> </w:t>
            </w:r>
            <w:r w:rsidR="000C5E77">
              <w:t>Assessment</w:t>
            </w:r>
            <w:r w:rsidR="000C5E77">
              <w:tab/>
              <w:t>3</w:t>
            </w:r>
          </w:hyperlink>
        </w:p>
        <w:p w:rsidR="00094A60" w:rsidRDefault="0069754F">
          <w:pPr>
            <w:pStyle w:val="TOC6"/>
            <w:numPr>
              <w:ilvl w:val="1"/>
              <w:numId w:val="5"/>
            </w:numPr>
            <w:tabs>
              <w:tab w:val="left" w:pos="1394"/>
              <w:tab w:val="left" w:pos="1541"/>
              <w:tab w:val="left" w:leader="dot" w:pos="9114"/>
            </w:tabs>
            <w:jc w:val="center"/>
          </w:pPr>
          <w:hyperlink w:anchor="_TOC_250010" w:history="1">
            <w:r w:rsidR="000C5E77">
              <w:t>Data Collection</w:t>
            </w:r>
            <w:r w:rsidR="000C5E77">
              <w:rPr>
                <w:spacing w:val="-5"/>
              </w:rPr>
              <w:t xml:space="preserve"> </w:t>
            </w:r>
            <w:r w:rsidR="000C5E77">
              <w:t>and</w:t>
            </w:r>
            <w:r w:rsidR="000C5E77">
              <w:rPr>
                <w:spacing w:val="-3"/>
              </w:rPr>
              <w:t xml:space="preserve"> </w:t>
            </w:r>
            <w:r w:rsidR="000C5E77">
              <w:t>Methodology</w:t>
            </w:r>
            <w:r w:rsidR="000C5E77">
              <w:tab/>
              <w:t>4</w:t>
            </w:r>
          </w:hyperlink>
        </w:p>
        <w:p w:rsidR="00094A60" w:rsidRDefault="0069754F">
          <w:pPr>
            <w:pStyle w:val="TOC6"/>
            <w:numPr>
              <w:ilvl w:val="1"/>
              <w:numId w:val="5"/>
            </w:numPr>
            <w:tabs>
              <w:tab w:val="left" w:pos="1541"/>
              <w:tab w:val="left" w:leader="dot" w:pos="9114"/>
            </w:tabs>
            <w:jc w:val="center"/>
          </w:pPr>
          <w:hyperlink w:anchor="_TOC_250009" w:history="1">
            <w:r w:rsidR="000C5E77">
              <w:t>Interpretation</w:t>
            </w:r>
            <w:r w:rsidR="000C5E77">
              <w:rPr>
                <w:spacing w:val="-4"/>
              </w:rPr>
              <w:t xml:space="preserve"> </w:t>
            </w:r>
            <w:r w:rsidR="000C5E77">
              <w:t>of</w:t>
            </w:r>
            <w:r w:rsidR="000C5E77">
              <w:rPr>
                <w:spacing w:val="-1"/>
              </w:rPr>
              <w:t xml:space="preserve"> </w:t>
            </w:r>
            <w:r w:rsidR="000C5E77">
              <w:t>Results</w:t>
            </w:r>
            <w:r w:rsidR="000C5E77">
              <w:tab/>
              <w:t>5</w:t>
            </w:r>
          </w:hyperlink>
        </w:p>
        <w:p w:rsidR="00094A60" w:rsidRDefault="0069754F">
          <w:pPr>
            <w:pStyle w:val="TOC2"/>
            <w:numPr>
              <w:ilvl w:val="0"/>
              <w:numId w:val="5"/>
            </w:numPr>
            <w:tabs>
              <w:tab w:val="left" w:pos="1001"/>
              <w:tab w:val="left" w:leader="dot" w:pos="9261"/>
            </w:tabs>
            <w:spacing w:before="19"/>
            <w:ind w:hanging="720"/>
          </w:pPr>
          <w:hyperlink w:anchor="_TOC_250008" w:history="1">
            <w:r w:rsidR="000C5E77">
              <w:t>Development of Salary Structure and</w:t>
            </w:r>
            <w:r w:rsidR="000C5E77">
              <w:rPr>
                <w:spacing w:val="-11"/>
              </w:rPr>
              <w:t xml:space="preserve"> </w:t>
            </w:r>
            <w:r w:rsidR="000C5E77">
              <w:t>Compensation</w:t>
            </w:r>
            <w:r w:rsidR="000C5E77">
              <w:rPr>
                <w:spacing w:val="-5"/>
              </w:rPr>
              <w:t xml:space="preserve"> </w:t>
            </w:r>
            <w:r w:rsidR="000C5E77">
              <w:t>Model</w:t>
            </w:r>
            <w:r w:rsidR="000C5E77">
              <w:tab/>
              <w:t>6</w:t>
            </w:r>
          </w:hyperlink>
        </w:p>
        <w:p w:rsidR="00094A60" w:rsidRDefault="0069754F">
          <w:pPr>
            <w:pStyle w:val="TOC2"/>
            <w:numPr>
              <w:ilvl w:val="0"/>
              <w:numId w:val="5"/>
            </w:numPr>
            <w:tabs>
              <w:tab w:val="left" w:pos="1001"/>
              <w:tab w:val="left" w:leader="dot" w:pos="9261"/>
            </w:tabs>
            <w:ind w:hanging="720"/>
          </w:pPr>
          <w:hyperlink w:anchor="_TOC_250007" w:history="1">
            <w:r w:rsidR="000C5E77">
              <w:t>Faculty</w:t>
            </w:r>
            <w:r w:rsidR="000C5E77">
              <w:rPr>
                <w:spacing w:val="-1"/>
              </w:rPr>
              <w:t xml:space="preserve"> </w:t>
            </w:r>
            <w:r w:rsidR="000C5E77">
              <w:t>Compensation</w:t>
            </w:r>
            <w:r w:rsidR="000C5E77">
              <w:rPr>
                <w:spacing w:val="-5"/>
              </w:rPr>
              <w:t xml:space="preserve"> </w:t>
            </w:r>
            <w:r w:rsidR="000C5E77">
              <w:t>Philosophy</w:t>
            </w:r>
            <w:r w:rsidR="000C5E77">
              <w:tab/>
              <w:t>6</w:t>
            </w:r>
          </w:hyperlink>
        </w:p>
        <w:p w:rsidR="00094A60" w:rsidRDefault="0069754F">
          <w:pPr>
            <w:pStyle w:val="TOC2"/>
            <w:numPr>
              <w:ilvl w:val="0"/>
              <w:numId w:val="5"/>
            </w:numPr>
            <w:tabs>
              <w:tab w:val="left" w:pos="1001"/>
              <w:tab w:val="left" w:leader="dot" w:pos="9261"/>
            </w:tabs>
            <w:ind w:hanging="720"/>
          </w:pPr>
          <w:hyperlink w:anchor="_TOC_250006" w:history="1">
            <w:r w:rsidR="000C5E77">
              <w:t>Recommendations</w:t>
            </w:r>
            <w:r w:rsidR="000C5E77">
              <w:tab/>
              <w:t>6</w:t>
            </w:r>
          </w:hyperlink>
        </w:p>
        <w:p w:rsidR="00094A60" w:rsidRDefault="0069754F">
          <w:pPr>
            <w:pStyle w:val="TOC6"/>
            <w:numPr>
              <w:ilvl w:val="1"/>
              <w:numId w:val="5"/>
            </w:numPr>
            <w:tabs>
              <w:tab w:val="left" w:pos="1541"/>
              <w:tab w:val="left" w:leader="dot" w:pos="9114"/>
            </w:tabs>
            <w:spacing w:before="19"/>
            <w:jc w:val="center"/>
          </w:pPr>
          <w:hyperlink w:anchor="_TOC_250005" w:history="1">
            <w:r w:rsidR="000C5E77">
              <w:t>Who Decides Who is Deserving of</w:t>
            </w:r>
            <w:r w:rsidR="000C5E77">
              <w:rPr>
                <w:spacing w:val="-13"/>
              </w:rPr>
              <w:t xml:space="preserve"> </w:t>
            </w:r>
            <w:r w:rsidR="000C5E77">
              <w:t>Salary</w:t>
            </w:r>
            <w:r w:rsidR="000C5E77">
              <w:rPr>
                <w:spacing w:val="-1"/>
              </w:rPr>
              <w:t xml:space="preserve"> </w:t>
            </w:r>
            <w:r w:rsidR="000C5E77">
              <w:t>Adjustments</w:t>
            </w:r>
            <w:r w:rsidR="000C5E77">
              <w:tab/>
              <w:t>6</w:t>
            </w:r>
          </w:hyperlink>
        </w:p>
        <w:p w:rsidR="00094A60" w:rsidRDefault="0069754F">
          <w:pPr>
            <w:pStyle w:val="TOC6"/>
            <w:numPr>
              <w:ilvl w:val="1"/>
              <w:numId w:val="5"/>
            </w:numPr>
            <w:tabs>
              <w:tab w:val="left" w:pos="1541"/>
              <w:tab w:val="left" w:leader="dot" w:pos="9114"/>
            </w:tabs>
            <w:jc w:val="center"/>
          </w:pPr>
          <w:hyperlink w:anchor="_TOC_250004" w:history="1">
            <w:r w:rsidR="000C5E77">
              <w:t>First</w:t>
            </w:r>
            <w:r w:rsidR="000C5E77">
              <w:rPr>
                <w:spacing w:val="-1"/>
              </w:rPr>
              <w:t xml:space="preserve"> </w:t>
            </w:r>
            <w:r w:rsidR="000C5E77">
              <w:t>Goal</w:t>
            </w:r>
            <w:r w:rsidR="000C5E77">
              <w:tab/>
              <w:t>7</w:t>
            </w:r>
          </w:hyperlink>
        </w:p>
        <w:p w:rsidR="00094A60" w:rsidRDefault="0069754F">
          <w:pPr>
            <w:pStyle w:val="TOC6"/>
            <w:numPr>
              <w:ilvl w:val="1"/>
              <w:numId w:val="5"/>
            </w:numPr>
            <w:tabs>
              <w:tab w:val="left" w:pos="1394"/>
              <w:tab w:val="left" w:pos="1541"/>
              <w:tab w:val="left" w:leader="dot" w:pos="9114"/>
            </w:tabs>
            <w:jc w:val="center"/>
          </w:pPr>
          <w:hyperlink w:anchor="_TOC_250003" w:history="1">
            <w:r w:rsidR="000C5E77">
              <w:t>Long-term</w:t>
            </w:r>
            <w:r w:rsidR="000C5E77">
              <w:rPr>
                <w:spacing w:val="-2"/>
              </w:rPr>
              <w:t xml:space="preserve"> </w:t>
            </w:r>
            <w:r w:rsidR="000C5E77">
              <w:t>Goal</w:t>
            </w:r>
            <w:r w:rsidR="000C5E77">
              <w:tab/>
              <w:t>7</w:t>
            </w:r>
          </w:hyperlink>
        </w:p>
        <w:p w:rsidR="00094A60" w:rsidRDefault="0069754F">
          <w:pPr>
            <w:pStyle w:val="TOC6"/>
            <w:numPr>
              <w:ilvl w:val="1"/>
              <w:numId w:val="5"/>
            </w:numPr>
            <w:tabs>
              <w:tab w:val="left" w:pos="1541"/>
              <w:tab w:val="left" w:leader="dot" w:pos="9115"/>
            </w:tabs>
            <w:spacing w:before="19"/>
            <w:jc w:val="center"/>
          </w:pPr>
          <w:hyperlink w:anchor="_TOC_250002" w:history="1">
            <w:r w:rsidR="000C5E77">
              <w:t>Annual</w:t>
            </w:r>
            <w:r w:rsidR="000C5E77">
              <w:rPr>
                <w:spacing w:val="-1"/>
              </w:rPr>
              <w:t xml:space="preserve"> </w:t>
            </w:r>
            <w:r w:rsidR="000C5E77">
              <w:t>Assessment</w:t>
            </w:r>
            <w:r w:rsidR="000C5E77">
              <w:tab/>
              <w:t>7</w:t>
            </w:r>
          </w:hyperlink>
        </w:p>
        <w:p w:rsidR="00094A60" w:rsidRDefault="0069754F">
          <w:pPr>
            <w:pStyle w:val="TOC6"/>
            <w:numPr>
              <w:ilvl w:val="1"/>
              <w:numId w:val="5"/>
            </w:numPr>
            <w:tabs>
              <w:tab w:val="left" w:pos="1541"/>
              <w:tab w:val="left" w:leader="dot" w:pos="9114"/>
            </w:tabs>
            <w:jc w:val="center"/>
          </w:pPr>
          <w:hyperlink w:anchor="_TOC_250001" w:history="1">
            <w:r w:rsidR="000C5E77">
              <w:t>Internal</w:t>
            </w:r>
            <w:r w:rsidR="000C5E77">
              <w:rPr>
                <w:spacing w:val="-2"/>
              </w:rPr>
              <w:t xml:space="preserve"> </w:t>
            </w:r>
            <w:r w:rsidR="000C5E77">
              <w:t>Data</w:t>
            </w:r>
            <w:r w:rsidR="000C5E77">
              <w:rPr>
                <w:spacing w:val="-2"/>
              </w:rPr>
              <w:t xml:space="preserve"> </w:t>
            </w:r>
            <w:r w:rsidR="000C5E77">
              <w:t>Integrity</w:t>
            </w:r>
            <w:r w:rsidR="000C5E77">
              <w:tab/>
              <w:t>7</w:t>
            </w:r>
          </w:hyperlink>
        </w:p>
        <w:p w:rsidR="00094A60" w:rsidRDefault="0069754F">
          <w:pPr>
            <w:pStyle w:val="TOC6"/>
            <w:numPr>
              <w:ilvl w:val="1"/>
              <w:numId w:val="5"/>
            </w:numPr>
            <w:tabs>
              <w:tab w:val="left" w:pos="1393"/>
              <w:tab w:val="left" w:pos="1541"/>
              <w:tab w:val="left" w:leader="dot" w:pos="9114"/>
            </w:tabs>
            <w:jc w:val="center"/>
          </w:pPr>
          <w:hyperlink w:anchor="_TOC_250000" w:history="1">
            <w:r w:rsidR="000C5E77">
              <w:t>Consistency</w:t>
            </w:r>
            <w:r w:rsidR="000C5E77">
              <w:rPr>
                <w:spacing w:val="-2"/>
              </w:rPr>
              <w:t xml:space="preserve"> </w:t>
            </w:r>
            <w:r w:rsidR="000C5E77">
              <w:t>of</w:t>
            </w:r>
            <w:r w:rsidR="000C5E77">
              <w:rPr>
                <w:spacing w:val="-4"/>
              </w:rPr>
              <w:t xml:space="preserve"> </w:t>
            </w:r>
            <w:r w:rsidR="000C5E77">
              <w:t>Transition</w:t>
            </w:r>
            <w:r w:rsidR="000C5E77">
              <w:tab/>
              <w:t>7</w:t>
            </w:r>
          </w:hyperlink>
        </w:p>
        <w:p w:rsidR="00094A60" w:rsidRDefault="000C5E77">
          <w:pPr>
            <w:pStyle w:val="TOC3"/>
            <w:tabs>
              <w:tab w:val="left" w:leader="dot" w:pos="9114"/>
            </w:tabs>
          </w:pPr>
          <w:r>
            <w:t>Appendices</w:t>
          </w:r>
          <w:r>
            <w:tab/>
            <w:t>8</w:t>
          </w:r>
        </w:p>
        <w:p w:rsidR="00532AA6" w:rsidRDefault="00532AA6">
          <w:pPr>
            <w:pStyle w:val="TOC5"/>
            <w:numPr>
              <w:ilvl w:val="0"/>
              <w:numId w:val="4"/>
            </w:numPr>
            <w:tabs>
              <w:tab w:val="left" w:pos="1361"/>
            </w:tabs>
            <w:ind w:hanging="285"/>
            <w:jc w:val="left"/>
          </w:pPr>
          <w:r>
            <w:t>Table 1: Faculty Information at a Glance – FY2019</w:t>
          </w:r>
        </w:p>
        <w:p w:rsidR="00532AA6" w:rsidRDefault="00532AA6">
          <w:pPr>
            <w:pStyle w:val="TOC5"/>
            <w:numPr>
              <w:ilvl w:val="0"/>
              <w:numId w:val="4"/>
            </w:numPr>
            <w:tabs>
              <w:tab w:val="left" w:pos="1361"/>
            </w:tabs>
            <w:ind w:hanging="285"/>
            <w:jc w:val="left"/>
          </w:pPr>
          <w:r>
            <w:t>Table 2: CIP Analysis Notes</w:t>
          </w:r>
        </w:p>
        <w:p w:rsidR="00532AA6" w:rsidRDefault="00532AA6">
          <w:pPr>
            <w:pStyle w:val="TOC5"/>
            <w:numPr>
              <w:ilvl w:val="0"/>
              <w:numId w:val="4"/>
            </w:numPr>
            <w:tabs>
              <w:tab w:val="left" w:pos="1361"/>
            </w:tabs>
            <w:ind w:hanging="285"/>
            <w:jc w:val="left"/>
          </w:pPr>
          <w:r>
            <w:t>Table 3: CIPs at Georgia College</w:t>
          </w:r>
        </w:p>
        <w:p w:rsidR="009F43A7" w:rsidRDefault="00532AA6">
          <w:pPr>
            <w:pStyle w:val="TOC5"/>
            <w:numPr>
              <w:ilvl w:val="0"/>
              <w:numId w:val="4"/>
            </w:numPr>
            <w:tabs>
              <w:tab w:val="left" w:pos="1361"/>
            </w:tabs>
            <w:ind w:hanging="285"/>
            <w:jc w:val="left"/>
          </w:pPr>
          <w:r>
            <w:t xml:space="preserve">Table 4: </w:t>
          </w:r>
          <w:r w:rsidR="009F43A7">
            <w:t>Comparison of Georgia College to Responding Institutions by University and each College</w:t>
          </w:r>
        </w:p>
        <w:p w:rsidR="009F43A7" w:rsidRDefault="009F43A7">
          <w:pPr>
            <w:pStyle w:val="TOC5"/>
            <w:numPr>
              <w:ilvl w:val="0"/>
              <w:numId w:val="4"/>
            </w:numPr>
            <w:tabs>
              <w:tab w:val="left" w:pos="1361"/>
            </w:tabs>
            <w:ind w:hanging="285"/>
            <w:jc w:val="left"/>
          </w:pPr>
          <w:r>
            <w:t>Table 5: Comparison of Georgia College Median Salaries to CUPA-HR Responding Institutions by Rank</w:t>
          </w:r>
        </w:p>
        <w:p w:rsidR="009F43A7" w:rsidRDefault="009F43A7">
          <w:pPr>
            <w:pStyle w:val="TOC5"/>
            <w:numPr>
              <w:ilvl w:val="0"/>
              <w:numId w:val="4"/>
            </w:numPr>
            <w:tabs>
              <w:tab w:val="left" w:pos="1361"/>
            </w:tabs>
            <w:ind w:hanging="285"/>
            <w:jc w:val="left"/>
          </w:pPr>
          <w:r>
            <w:t>Table 6: Proposed Salary Bands College and Rank</w:t>
          </w:r>
        </w:p>
        <w:p w:rsidR="009F43A7" w:rsidRDefault="009F43A7">
          <w:pPr>
            <w:pStyle w:val="TOC5"/>
            <w:numPr>
              <w:ilvl w:val="0"/>
              <w:numId w:val="4"/>
            </w:numPr>
            <w:tabs>
              <w:tab w:val="left" w:pos="1361"/>
            </w:tabs>
            <w:ind w:hanging="285"/>
            <w:jc w:val="left"/>
          </w:pPr>
          <w:r>
            <w:t>Figure 1: Comparison of Georgia College Salaries to CUPA-HR Responding Institutions</w:t>
          </w:r>
        </w:p>
        <w:p w:rsidR="009F43A7" w:rsidRDefault="009F43A7">
          <w:pPr>
            <w:pStyle w:val="TOC5"/>
            <w:numPr>
              <w:ilvl w:val="0"/>
              <w:numId w:val="4"/>
            </w:numPr>
            <w:tabs>
              <w:tab w:val="left" w:pos="1361"/>
            </w:tabs>
            <w:ind w:hanging="285"/>
            <w:jc w:val="left"/>
          </w:pPr>
          <w:r>
            <w:t>List of Comparison Institutions</w:t>
          </w:r>
        </w:p>
        <w:p w:rsidR="00094A60" w:rsidRDefault="009F43A7" w:rsidP="009F43A7">
          <w:pPr>
            <w:pStyle w:val="TOC5"/>
            <w:numPr>
              <w:ilvl w:val="0"/>
              <w:numId w:val="4"/>
            </w:numPr>
            <w:tabs>
              <w:tab w:val="left" w:pos="1361"/>
              <w:tab w:val="left" w:leader="dot" w:pos="9003"/>
              <w:tab w:val="left" w:leader="dot" w:pos="9148"/>
            </w:tabs>
            <w:spacing w:before="19"/>
            <w:ind w:hanging="336"/>
            <w:jc w:val="center"/>
          </w:pPr>
          <w:r>
            <w:t>Sibson Consulting Philosophy Documen</w:t>
          </w:r>
          <w:r w:rsidR="004B5F5D">
            <w:t>t</w:t>
          </w:r>
          <w:r w:rsidR="000C5E77">
            <w:tab/>
          </w:r>
        </w:p>
      </w:sdtContent>
    </w:sdt>
    <w:p w:rsidR="00094A60" w:rsidRDefault="00094A60" w:rsidP="00A23B27">
      <w:pPr>
        <w:sectPr w:rsidR="00094A60">
          <w:footerReference w:type="default" r:id="rId14"/>
          <w:pgSz w:w="12240" w:h="15840"/>
          <w:pgMar w:top="1400" w:right="1380" w:bottom="1200" w:left="1340" w:header="0" w:footer="1017" w:gutter="0"/>
          <w:cols w:space="720"/>
        </w:sectPr>
      </w:pPr>
    </w:p>
    <w:p w:rsidR="00094A60" w:rsidRDefault="00A23B27" w:rsidP="00A23B27">
      <w:pPr>
        <w:pStyle w:val="Heading1"/>
        <w:ind w:left="0" w:firstLine="0"/>
        <w:jc w:val="both"/>
        <w:rPr>
          <w:b w:val="0"/>
        </w:rPr>
      </w:pPr>
      <w:bookmarkStart w:id="2" w:name="_TOC_250016"/>
      <w:r>
        <w:lastRenderedPageBreak/>
        <w:t xml:space="preserve">   </w:t>
      </w:r>
      <w:r w:rsidR="000C5E77">
        <w:t>Executive Summary</w:t>
      </w:r>
      <w:bookmarkEnd w:id="2"/>
      <w:r w:rsidR="000C5E77">
        <w:rPr>
          <w:b w:val="0"/>
        </w:rPr>
        <w:t>:</w:t>
      </w:r>
    </w:p>
    <w:p w:rsidR="00094A60" w:rsidRDefault="000C5E77">
      <w:pPr>
        <w:pStyle w:val="BodyText"/>
        <w:spacing w:before="175" w:line="259" w:lineRule="auto"/>
        <w:ind w:left="120" w:right="116"/>
        <w:jc w:val="both"/>
      </w:pPr>
      <w:r>
        <w:t>This report represents the culmination of a year of collaborative effort of the Faculty Salary Review Task Force. It shows comparisons of Georgia College faculty salaries by CIP codes and rank for all teaching faculty at the university in comparison to 283 masters-level institutions across the U.S.</w:t>
      </w:r>
    </w:p>
    <w:p w:rsidR="00094A60" w:rsidRDefault="000C5E77">
      <w:pPr>
        <w:pStyle w:val="BodyText"/>
        <w:spacing w:before="155" w:line="256" w:lineRule="auto"/>
        <w:ind w:left="119" w:right="114"/>
        <w:jc w:val="both"/>
      </w:pPr>
      <w:r>
        <w:t>The report focusses on comparisons of Georgia College salaries to the 5</w:t>
      </w:r>
      <w:proofErr w:type="spellStart"/>
      <w:r>
        <w:rPr>
          <w:position w:val="8"/>
          <w:sz w:val="14"/>
        </w:rPr>
        <w:t>th</w:t>
      </w:r>
      <w:proofErr w:type="spellEnd"/>
      <w:r>
        <w:rPr>
          <w:position w:val="8"/>
          <w:sz w:val="14"/>
        </w:rPr>
        <w:t xml:space="preserve"> </w:t>
      </w:r>
      <w:r>
        <w:t>percentile, first quartile (25</w:t>
      </w:r>
      <w:proofErr w:type="spellStart"/>
      <w:r>
        <w:rPr>
          <w:position w:val="8"/>
          <w:sz w:val="14"/>
        </w:rPr>
        <w:t>th</w:t>
      </w:r>
      <w:proofErr w:type="spellEnd"/>
      <w:r>
        <w:rPr>
          <w:position w:val="8"/>
          <w:sz w:val="14"/>
        </w:rPr>
        <w:t xml:space="preserve"> </w:t>
      </w:r>
      <w:r>
        <w:t>percentile), median, third quartile (75</w:t>
      </w:r>
      <w:proofErr w:type="spellStart"/>
      <w:r>
        <w:rPr>
          <w:position w:val="8"/>
          <w:sz w:val="14"/>
        </w:rPr>
        <w:t>th</w:t>
      </w:r>
      <w:proofErr w:type="spellEnd"/>
      <w:r>
        <w:rPr>
          <w:position w:val="8"/>
          <w:sz w:val="14"/>
        </w:rPr>
        <w:t xml:space="preserve"> </w:t>
      </w:r>
      <w:r>
        <w:t>percentile) and 95</w:t>
      </w:r>
      <w:proofErr w:type="spellStart"/>
      <w:r>
        <w:rPr>
          <w:position w:val="8"/>
          <w:sz w:val="14"/>
        </w:rPr>
        <w:t>th</w:t>
      </w:r>
      <w:proofErr w:type="spellEnd"/>
      <w:r>
        <w:rPr>
          <w:position w:val="8"/>
          <w:sz w:val="14"/>
        </w:rPr>
        <w:t xml:space="preserve"> </w:t>
      </w:r>
      <w:r>
        <w:t>percentile of the salaries reported for the comparison group of universities.</w:t>
      </w:r>
    </w:p>
    <w:p w:rsidR="00094A60" w:rsidRDefault="000C5E77">
      <w:pPr>
        <w:pStyle w:val="BodyText"/>
        <w:spacing w:before="163" w:line="259" w:lineRule="auto"/>
        <w:ind w:left="119" w:right="113"/>
        <w:jc w:val="both"/>
      </w:pPr>
      <w:r>
        <w:t>The</w:t>
      </w:r>
      <w:r>
        <w:rPr>
          <w:spacing w:val="-6"/>
        </w:rPr>
        <w:t xml:space="preserve"> </w:t>
      </w:r>
      <w:r>
        <w:t>Task</w:t>
      </w:r>
      <w:r>
        <w:rPr>
          <w:spacing w:val="-6"/>
        </w:rPr>
        <w:t xml:space="preserve"> </w:t>
      </w:r>
      <w:r>
        <w:t>Force</w:t>
      </w:r>
      <w:r>
        <w:rPr>
          <w:spacing w:val="-6"/>
        </w:rPr>
        <w:t xml:space="preserve"> </w:t>
      </w:r>
      <w:r>
        <w:t>recommends</w:t>
      </w:r>
      <w:r>
        <w:rPr>
          <w:spacing w:val="-7"/>
        </w:rPr>
        <w:t xml:space="preserve"> </w:t>
      </w:r>
      <w:r>
        <w:t>action</w:t>
      </w:r>
      <w:r>
        <w:rPr>
          <w:spacing w:val="-7"/>
        </w:rPr>
        <w:t xml:space="preserve"> </w:t>
      </w:r>
      <w:r>
        <w:t>be</w:t>
      </w:r>
      <w:r>
        <w:rPr>
          <w:spacing w:val="-8"/>
        </w:rPr>
        <w:t xml:space="preserve"> </w:t>
      </w:r>
      <w:r>
        <w:t>taken</w:t>
      </w:r>
      <w:r>
        <w:rPr>
          <w:spacing w:val="-7"/>
        </w:rPr>
        <w:t xml:space="preserve"> </w:t>
      </w:r>
      <w:r>
        <w:t>for</w:t>
      </w:r>
      <w:r>
        <w:rPr>
          <w:spacing w:val="-9"/>
        </w:rPr>
        <w:t xml:space="preserve"> </w:t>
      </w:r>
      <w:r>
        <w:t>the</w:t>
      </w:r>
      <w:r>
        <w:rPr>
          <w:spacing w:val="-8"/>
        </w:rPr>
        <w:t xml:space="preserve"> </w:t>
      </w:r>
      <w:r>
        <w:t>salaries</w:t>
      </w:r>
      <w:r>
        <w:rPr>
          <w:spacing w:val="-9"/>
        </w:rPr>
        <w:t xml:space="preserve"> </w:t>
      </w:r>
      <w:r>
        <w:t>of</w:t>
      </w:r>
      <w:r>
        <w:rPr>
          <w:spacing w:val="-7"/>
        </w:rPr>
        <w:t xml:space="preserve"> </w:t>
      </w:r>
      <w:r>
        <w:t>faculty</w:t>
      </w:r>
      <w:r>
        <w:rPr>
          <w:spacing w:val="-8"/>
        </w:rPr>
        <w:t xml:space="preserve"> </w:t>
      </w:r>
      <w:r>
        <w:t>in</w:t>
      </w:r>
      <w:r>
        <w:rPr>
          <w:spacing w:val="-7"/>
        </w:rPr>
        <w:t xml:space="preserve"> </w:t>
      </w:r>
      <w:r>
        <w:t>CIP</w:t>
      </w:r>
      <w:r>
        <w:rPr>
          <w:spacing w:val="-5"/>
        </w:rPr>
        <w:t xml:space="preserve"> </w:t>
      </w:r>
      <w:r>
        <w:t>codes</w:t>
      </w:r>
      <w:r>
        <w:rPr>
          <w:spacing w:val="-11"/>
        </w:rPr>
        <w:t xml:space="preserve"> </w:t>
      </w:r>
      <w:r>
        <w:t>that</w:t>
      </w:r>
      <w:r>
        <w:rPr>
          <w:spacing w:val="-6"/>
        </w:rPr>
        <w:t xml:space="preserve"> </w:t>
      </w:r>
      <w:r>
        <w:t>fall</w:t>
      </w:r>
      <w:r>
        <w:rPr>
          <w:spacing w:val="-9"/>
        </w:rPr>
        <w:t xml:space="preserve"> </w:t>
      </w:r>
      <w:r>
        <w:t>below</w:t>
      </w:r>
      <w:r>
        <w:rPr>
          <w:spacing w:val="-8"/>
        </w:rPr>
        <w:t xml:space="preserve"> </w:t>
      </w:r>
      <w:r>
        <w:t>the</w:t>
      </w:r>
      <w:r>
        <w:rPr>
          <w:spacing w:val="-6"/>
        </w:rPr>
        <w:t xml:space="preserve"> </w:t>
      </w:r>
      <w:r>
        <w:t>first quartile of salaries seen in their respective CIP codes and ranks at comparison institutions</w:t>
      </w:r>
      <w:r w:rsidR="00F810BF">
        <w:t xml:space="preserve">, </w:t>
      </w:r>
      <w:r w:rsidR="00F810BF" w:rsidRPr="00986F3A">
        <w:t>when</w:t>
      </w:r>
      <w:r w:rsidR="007423DD" w:rsidRPr="00986F3A">
        <w:t xml:space="preserve"> </w:t>
      </w:r>
      <w:r w:rsidR="00F810BF" w:rsidRPr="00986F3A">
        <w:t>faculty performance warrants such action</w:t>
      </w:r>
      <w:r w:rsidRPr="00986F3A">
        <w:t>. In the long- term, every effort should be made to bring median sa</w:t>
      </w:r>
      <w:r>
        <w:t>laries for each rank and CIP code up to the median salaries reported for each rank and CIP code for the comparison institutions. Finally, an annual report of progress</w:t>
      </w:r>
      <w:r>
        <w:rPr>
          <w:spacing w:val="-5"/>
        </w:rPr>
        <w:t xml:space="preserve"> </w:t>
      </w:r>
      <w:r>
        <w:t>toward</w:t>
      </w:r>
      <w:r>
        <w:rPr>
          <w:spacing w:val="-4"/>
        </w:rPr>
        <w:t xml:space="preserve"> </w:t>
      </w:r>
      <w:r>
        <w:t>these</w:t>
      </w:r>
      <w:r>
        <w:rPr>
          <w:spacing w:val="-2"/>
        </w:rPr>
        <w:t xml:space="preserve"> </w:t>
      </w:r>
      <w:r>
        <w:t>goals</w:t>
      </w:r>
      <w:r>
        <w:rPr>
          <w:spacing w:val="-3"/>
        </w:rPr>
        <w:t xml:space="preserve"> </w:t>
      </w:r>
      <w:r>
        <w:t>should</w:t>
      </w:r>
      <w:r>
        <w:rPr>
          <w:spacing w:val="-4"/>
        </w:rPr>
        <w:t xml:space="preserve"> </w:t>
      </w:r>
      <w:r>
        <w:t>be</w:t>
      </w:r>
      <w:r>
        <w:rPr>
          <w:spacing w:val="-5"/>
        </w:rPr>
        <w:t xml:space="preserve"> </w:t>
      </w:r>
      <w:r>
        <w:t>made</w:t>
      </w:r>
      <w:r>
        <w:rPr>
          <w:spacing w:val="-2"/>
        </w:rPr>
        <w:t xml:space="preserve"> </w:t>
      </w:r>
      <w:r>
        <w:t>available</w:t>
      </w:r>
      <w:r>
        <w:rPr>
          <w:spacing w:val="-5"/>
        </w:rPr>
        <w:t xml:space="preserve"> </w:t>
      </w:r>
      <w:r>
        <w:t>to</w:t>
      </w:r>
      <w:r>
        <w:rPr>
          <w:spacing w:val="-4"/>
        </w:rPr>
        <w:t xml:space="preserve"> </w:t>
      </w:r>
      <w:r>
        <w:t>the</w:t>
      </w:r>
      <w:r>
        <w:rPr>
          <w:spacing w:val="-2"/>
        </w:rPr>
        <w:t xml:space="preserve"> </w:t>
      </w:r>
      <w:r>
        <w:t>Georgia</w:t>
      </w:r>
      <w:r>
        <w:rPr>
          <w:spacing w:val="-3"/>
        </w:rPr>
        <w:t xml:space="preserve"> </w:t>
      </w:r>
      <w:r>
        <w:t>College</w:t>
      </w:r>
      <w:r>
        <w:rPr>
          <w:spacing w:val="-5"/>
        </w:rPr>
        <w:t xml:space="preserve"> </w:t>
      </w:r>
      <w:r>
        <w:t>community.</w:t>
      </w:r>
    </w:p>
    <w:p w:rsidR="00094A60" w:rsidRDefault="00094A60">
      <w:pPr>
        <w:spacing w:line="259" w:lineRule="auto"/>
        <w:jc w:val="both"/>
        <w:sectPr w:rsidR="00094A60">
          <w:footerReference w:type="default" r:id="rId15"/>
          <w:pgSz w:w="12240" w:h="15840"/>
          <w:pgMar w:top="1400" w:right="1320" w:bottom="1200" w:left="1320" w:header="0" w:footer="1017" w:gutter="0"/>
          <w:pgNumType w:start="1"/>
          <w:cols w:space="720"/>
        </w:sectPr>
      </w:pPr>
    </w:p>
    <w:p w:rsidR="00094A60" w:rsidRDefault="000C5E77">
      <w:pPr>
        <w:pStyle w:val="Heading1"/>
        <w:numPr>
          <w:ilvl w:val="0"/>
          <w:numId w:val="2"/>
        </w:numPr>
        <w:tabs>
          <w:tab w:val="left" w:pos="1199"/>
          <w:tab w:val="left" w:pos="1200"/>
        </w:tabs>
        <w:ind w:hanging="720"/>
        <w:jc w:val="both"/>
      </w:pPr>
      <w:bookmarkStart w:id="3" w:name="_TOC_250015"/>
      <w:bookmarkEnd w:id="3"/>
      <w:r>
        <w:lastRenderedPageBreak/>
        <w:t>Introduction</w:t>
      </w:r>
    </w:p>
    <w:p w:rsidR="00094A60" w:rsidRDefault="000C5E77">
      <w:pPr>
        <w:pStyle w:val="BodyText"/>
        <w:spacing w:before="178" w:line="256" w:lineRule="auto"/>
        <w:ind w:left="119" w:right="115"/>
        <w:jc w:val="both"/>
      </w:pPr>
      <w:r>
        <w:t xml:space="preserve">In undertaking a faculty salary study, it is important to be mindful of the goals of such a study. From </w:t>
      </w:r>
      <w:r>
        <w:rPr>
          <w:spacing w:val="-3"/>
        </w:rPr>
        <w:t xml:space="preserve">the </w:t>
      </w:r>
      <w:r>
        <w:t>perspective of the administration of the university, the ability to attract and retain faculty members who reflect the overarching goals of the university is paramount. As we strive for preeminence, we should expect preeminence from our faculty members. Therefore, one must recognize that market forces play a role in dictating the appropriate monetary compensation for faculty with the skills, characteristics, and temperaments desired by the university. From the perspective of faculty members, there is reasonable expectation</w:t>
      </w:r>
      <w:r>
        <w:rPr>
          <w:spacing w:val="-12"/>
        </w:rPr>
        <w:t xml:space="preserve"> </w:t>
      </w:r>
      <w:r>
        <w:t>that</w:t>
      </w:r>
      <w:r>
        <w:rPr>
          <w:spacing w:val="-9"/>
        </w:rPr>
        <w:t xml:space="preserve"> </w:t>
      </w:r>
      <w:r>
        <w:t>they</w:t>
      </w:r>
      <w:r>
        <w:rPr>
          <w:spacing w:val="-8"/>
        </w:rPr>
        <w:t xml:space="preserve"> </w:t>
      </w:r>
      <w:r>
        <w:t>will</w:t>
      </w:r>
      <w:r>
        <w:rPr>
          <w:spacing w:val="-9"/>
        </w:rPr>
        <w:t xml:space="preserve"> </w:t>
      </w:r>
      <w:r>
        <w:t>be</w:t>
      </w:r>
      <w:r>
        <w:rPr>
          <w:spacing w:val="-8"/>
        </w:rPr>
        <w:t xml:space="preserve"> </w:t>
      </w:r>
      <w:r>
        <w:t>rewarded</w:t>
      </w:r>
      <w:r>
        <w:rPr>
          <w:spacing w:val="-10"/>
        </w:rPr>
        <w:t xml:space="preserve"> </w:t>
      </w:r>
      <w:r>
        <w:t>for</w:t>
      </w:r>
      <w:r>
        <w:rPr>
          <w:spacing w:val="-9"/>
        </w:rPr>
        <w:t xml:space="preserve"> </w:t>
      </w:r>
      <w:r>
        <w:t>progressing</w:t>
      </w:r>
      <w:r>
        <w:rPr>
          <w:spacing w:val="-12"/>
        </w:rPr>
        <w:t xml:space="preserve"> </w:t>
      </w:r>
      <w:r>
        <w:t>in</w:t>
      </w:r>
      <w:r>
        <w:rPr>
          <w:spacing w:val="-10"/>
        </w:rPr>
        <w:t xml:space="preserve"> </w:t>
      </w:r>
      <w:r>
        <w:t>their</w:t>
      </w:r>
      <w:r>
        <w:rPr>
          <w:spacing w:val="-9"/>
        </w:rPr>
        <w:t xml:space="preserve"> </w:t>
      </w:r>
      <w:r>
        <w:t>chosen</w:t>
      </w:r>
      <w:r>
        <w:rPr>
          <w:spacing w:val="-10"/>
        </w:rPr>
        <w:t xml:space="preserve"> </w:t>
      </w:r>
      <w:r>
        <w:t>fields</w:t>
      </w:r>
      <w:r w:rsidR="00BA0B4F">
        <w:t>.</w:t>
      </w:r>
      <w:r>
        <w:t xml:space="preserve"> Faculty members also have a reasonable expectation that any process that either in whole or in part determines their compensation will be transparent and open to reasoned criticism. Finally, from the perspective of the Board</w:t>
      </w:r>
      <w:r>
        <w:rPr>
          <w:spacing w:val="-10"/>
        </w:rPr>
        <w:t xml:space="preserve"> </w:t>
      </w:r>
      <w:r>
        <w:t>of</w:t>
      </w:r>
      <w:r>
        <w:rPr>
          <w:spacing w:val="-12"/>
        </w:rPr>
        <w:t xml:space="preserve"> </w:t>
      </w:r>
      <w:r>
        <w:t>Regents</w:t>
      </w:r>
      <w:r>
        <w:rPr>
          <w:spacing w:val="-9"/>
        </w:rPr>
        <w:t xml:space="preserve"> </w:t>
      </w:r>
      <w:r>
        <w:t>and</w:t>
      </w:r>
      <w:r>
        <w:rPr>
          <w:spacing w:val="-10"/>
        </w:rPr>
        <w:t xml:space="preserve"> </w:t>
      </w:r>
      <w:r>
        <w:t>the</w:t>
      </w:r>
      <w:r>
        <w:rPr>
          <w:spacing w:val="-8"/>
        </w:rPr>
        <w:t xml:space="preserve"> </w:t>
      </w:r>
      <w:r>
        <w:t>State,</w:t>
      </w:r>
      <w:r>
        <w:rPr>
          <w:spacing w:val="-11"/>
        </w:rPr>
        <w:t xml:space="preserve"> </w:t>
      </w:r>
      <w:r>
        <w:t>there</w:t>
      </w:r>
      <w:r>
        <w:rPr>
          <w:spacing w:val="-8"/>
        </w:rPr>
        <w:t xml:space="preserve"> </w:t>
      </w:r>
      <w:r>
        <w:t>should</w:t>
      </w:r>
      <w:r>
        <w:rPr>
          <w:spacing w:val="-10"/>
        </w:rPr>
        <w:t xml:space="preserve"> </w:t>
      </w:r>
      <w:r>
        <w:t>be</w:t>
      </w:r>
      <w:r>
        <w:rPr>
          <w:spacing w:val="-8"/>
        </w:rPr>
        <w:t xml:space="preserve"> </w:t>
      </w:r>
      <w:r>
        <w:t>a</w:t>
      </w:r>
      <w:r>
        <w:rPr>
          <w:spacing w:val="-9"/>
        </w:rPr>
        <w:t xml:space="preserve"> </w:t>
      </w:r>
      <w:r>
        <w:t>clear</w:t>
      </w:r>
      <w:r>
        <w:rPr>
          <w:spacing w:val="-9"/>
        </w:rPr>
        <w:t xml:space="preserve"> </w:t>
      </w:r>
      <w:r>
        <w:t>indication</w:t>
      </w:r>
      <w:r>
        <w:rPr>
          <w:spacing w:val="-10"/>
        </w:rPr>
        <w:t xml:space="preserve"> </w:t>
      </w:r>
      <w:r>
        <w:t>that</w:t>
      </w:r>
      <w:r>
        <w:rPr>
          <w:spacing w:val="-8"/>
        </w:rPr>
        <w:t xml:space="preserve"> </w:t>
      </w:r>
      <w:r>
        <w:t>any</w:t>
      </w:r>
      <w:r>
        <w:rPr>
          <w:spacing w:val="-8"/>
        </w:rPr>
        <w:t xml:space="preserve"> </w:t>
      </w:r>
      <w:r>
        <w:t>requests</w:t>
      </w:r>
      <w:r>
        <w:rPr>
          <w:spacing w:val="-9"/>
        </w:rPr>
        <w:t xml:space="preserve"> </w:t>
      </w:r>
      <w:r>
        <w:t>for</w:t>
      </w:r>
      <w:r>
        <w:rPr>
          <w:spacing w:val="-9"/>
        </w:rPr>
        <w:t xml:space="preserve"> </w:t>
      </w:r>
      <w:r>
        <w:t>additional</w:t>
      </w:r>
      <w:r>
        <w:rPr>
          <w:spacing w:val="-9"/>
        </w:rPr>
        <w:t xml:space="preserve"> </w:t>
      </w:r>
      <w:r>
        <w:t>funding to achieve any corrections requested by a salary study be fiscally responsible and</w:t>
      </w:r>
      <w:r>
        <w:rPr>
          <w:spacing w:val="-31"/>
        </w:rPr>
        <w:t xml:space="preserve"> </w:t>
      </w:r>
      <w:r>
        <w:t>compelling.</w:t>
      </w:r>
    </w:p>
    <w:p w:rsidR="00094A60" w:rsidRDefault="000C5E77">
      <w:pPr>
        <w:pStyle w:val="Heading1"/>
        <w:numPr>
          <w:ilvl w:val="0"/>
          <w:numId w:val="2"/>
        </w:numPr>
        <w:tabs>
          <w:tab w:val="left" w:pos="1199"/>
          <w:tab w:val="left" w:pos="1200"/>
        </w:tabs>
        <w:spacing w:before="159"/>
        <w:ind w:hanging="720"/>
        <w:jc w:val="both"/>
      </w:pPr>
      <w:bookmarkStart w:id="4" w:name="_TOC_250014"/>
      <w:bookmarkEnd w:id="4"/>
      <w:r>
        <w:t>Background</w:t>
      </w:r>
    </w:p>
    <w:p w:rsidR="00094A60" w:rsidRDefault="000C5E77">
      <w:pPr>
        <w:pStyle w:val="BodyText"/>
        <w:spacing w:before="178" w:line="256" w:lineRule="auto"/>
        <w:ind w:left="119" w:right="112"/>
        <w:jc w:val="both"/>
      </w:pPr>
      <w:r>
        <w:t>The last comprehensive salary study to be conducted at Georgia College engaged the services of the Pappas Consulting Group and McKnight Associates, Inc. Then President Dorothy Leland described the necessity of the study as follows.</w:t>
      </w:r>
    </w:p>
    <w:p w:rsidR="00094A60" w:rsidRDefault="000C5E77">
      <w:pPr>
        <w:spacing w:before="159" w:line="256" w:lineRule="auto"/>
        <w:ind w:left="479" w:right="654"/>
        <w:jc w:val="both"/>
        <w:rPr>
          <w:i/>
        </w:rPr>
      </w:pPr>
      <w:r>
        <w:rPr>
          <w:i/>
        </w:rPr>
        <w:t>This study was planned as a means of addressing market conditions; the thinking behind this process was to set in place an overall salary structure that in a later process could then allow the</w:t>
      </w:r>
      <w:r>
        <w:rPr>
          <w:i/>
          <w:spacing w:val="-11"/>
        </w:rPr>
        <w:t xml:space="preserve"> </w:t>
      </w:r>
      <w:r>
        <w:rPr>
          <w:i/>
        </w:rPr>
        <w:t>kind</w:t>
      </w:r>
      <w:r>
        <w:rPr>
          <w:i/>
          <w:spacing w:val="-12"/>
        </w:rPr>
        <w:t xml:space="preserve"> </w:t>
      </w:r>
      <w:r>
        <w:rPr>
          <w:i/>
        </w:rPr>
        <w:t>of</w:t>
      </w:r>
      <w:r>
        <w:rPr>
          <w:i/>
          <w:spacing w:val="-12"/>
        </w:rPr>
        <w:t xml:space="preserve"> </w:t>
      </w:r>
      <w:r>
        <w:rPr>
          <w:i/>
        </w:rPr>
        <w:t>fine-tuning</w:t>
      </w:r>
      <w:r>
        <w:rPr>
          <w:i/>
          <w:spacing w:val="-12"/>
        </w:rPr>
        <w:t xml:space="preserve"> </w:t>
      </w:r>
      <w:r>
        <w:rPr>
          <w:i/>
        </w:rPr>
        <w:t>that</w:t>
      </w:r>
      <w:r>
        <w:rPr>
          <w:i/>
          <w:spacing w:val="-9"/>
        </w:rPr>
        <w:t xml:space="preserve"> </w:t>
      </w:r>
      <w:r>
        <w:rPr>
          <w:i/>
        </w:rPr>
        <w:t>individual</w:t>
      </w:r>
      <w:r>
        <w:rPr>
          <w:i/>
          <w:spacing w:val="-12"/>
        </w:rPr>
        <w:t xml:space="preserve"> </w:t>
      </w:r>
      <w:r>
        <w:rPr>
          <w:i/>
        </w:rPr>
        <w:t>merit</w:t>
      </w:r>
      <w:r>
        <w:rPr>
          <w:i/>
          <w:spacing w:val="-11"/>
        </w:rPr>
        <w:t xml:space="preserve"> </w:t>
      </w:r>
      <w:r>
        <w:rPr>
          <w:i/>
        </w:rPr>
        <w:t>and</w:t>
      </w:r>
      <w:r>
        <w:rPr>
          <w:i/>
          <w:spacing w:val="-12"/>
        </w:rPr>
        <w:t xml:space="preserve"> </w:t>
      </w:r>
      <w:r>
        <w:rPr>
          <w:i/>
        </w:rPr>
        <w:t>inequity</w:t>
      </w:r>
      <w:r>
        <w:rPr>
          <w:i/>
          <w:spacing w:val="-12"/>
        </w:rPr>
        <w:t xml:space="preserve"> </w:t>
      </w:r>
      <w:r>
        <w:rPr>
          <w:i/>
        </w:rPr>
        <w:t>cases</w:t>
      </w:r>
      <w:r>
        <w:rPr>
          <w:i/>
          <w:spacing w:val="-11"/>
        </w:rPr>
        <w:t xml:space="preserve"> </w:t>
      </w:r>
      <w:r>
        <w:rPr>
          <w:i/>
        </w:rPr>
        <w:t>call</w:t>
      </w:r>
      <w:r>
        <w:rPr>
          <w:i/>
          <w:spacing w:val="-12"/>
        </w:rPr>
        <w:t xml:space="preserve"> </w:t>
      </w:r>
      <w:r>
        <w:rPr>
          <w:i/>
        </w:rPr>
        <w:t>for.</w:t>
      </w:r>
      <w:r>
        <w:rPr>
          <w:i/>
          <w:spacing w:val="-12"/>
        </w:rPr>
        <w:t xml:space="preserve"> </w:t>
      </w:r>
      <w:r>
        <w:rPr>
          <w:i/>
        </w:rPr>
        <w:t>For</w:t>
      </w:r>
      <w:r>
        <w:rPr>
          <w:i/>
          <w:spacing w:val="-10"/>
        </w:rPr>
        <w:t xml:space="preserve"> </w:t>
      </w:r>
      <w:r>
        <w:rPr>
          <w:i/>
        </w:rPr>
        <w:t>that</w:t>
      </w:r>
      <w:r>
        <w:rPr>
          <w:i/>
          <w:spacing w:val="-11"/>
        </w:rPr>
        <w:t xml:space="preserve"> </w:t>
      </w:r>
      <w:r>
        <w:rPr>
          <w:i/>
        </w:rPr>
        <w:t>reason,</w:t>
      </w:r>
      <w:r>
        <w:rPr>
          <w:i/>
          <w:spacing w:val="-11"/>
        </w:rPr>
        <w:t xml:space="preserve"> </w:t>
      </w:r>
      <w:r>
        <w:rPr>
          <w:i/>
        </w:rPr>
        <w:t>the</w:t>
      </w:r>
      <w:r>
        <w:rPr>
          <w:i/>
          <w:spacing w:val="-11"/>
        </w:rPr>
        <w:t xml:space="preserve"> </w:t>
      </w:r>
      <w:r>
        <w:rPr>
          <w:i/>
        </w:rPr>
        <w:t>study does</w:t>
      </w:r>
      <w:r>
        <w:rPr>
          <w:i/>
          <w:spacing w:val="-4"/>
        </w:rPr>
        <w:t xml:space="preserve"> </w:t>
      </w:r>
      <w:r>
        <w:rPr>
          <w:i/>
        </w:rPr>
        <w:t>not</w:t>
      </w:r>
      <w:r>
        <w:rPr>
          <w:i/>
          <w:spacing w:val="-6"/>
        </w:rPr>
        <w:t xml:space="preserve"> </w:t>
      </w:r>
      <w:r>
        <w:rPr>
          <w:i/>
        </w:rPr>
        <w:t>reflect</w:t>
      </w:r>
      <w:r>
        <w:rPr>
          <w:i/>
          <w:spacing w:val="-6"/>
        </w:rPr>
        <w:t xml:space="preserve"> </w:t>
      </w:r>
      <w:r>
        <w:rPr>
          <w:i/>
        </w:rPr>
        <w:t>extraordinarily</w:t>
      </w:r>
      <w:r>
        <w:rPr>
          <w:i/>
          <w:spacing w:val="-5"/>
        </w:rPr>
        <w:t xml:space="preserve"> </w:t>
      </w:r>
      <w:r>
        <w:rPr>
          <w:i/>
        </w:rPr>
        <w:t>meritorious</w:t>
      </w:r>
      <w:r>
        <w:rPr>
          <w:i/>
          <w:spacing w:val="-4"/>
        </w:rPr>
        <w:t xml:space="preserve"> </w:t>
      </w:r>
      <w:r>
        <w:rPr>
          <w:i/>
        </w:rPr>
        <w:t>or</w:t>
      </w:r>
      <w:r>
        <w:rPr>
          <w:i/>
          <w:spacing w:val="-3"/>
        </w:rPr>
        <w:t xml:space="preserve"> </w:t>
      </w:r>
      <w:r>
        <w:rPr>
          <w:i/>
        </w:rPr>
        <w:t>negative</w:t>
      </w:r>
      <w:r>
        <w:rPr>
          <w:i/>
          <w:spacing w:val="-4"/>
        </w:rPr>
        <w:t xml:space="preserve"> </w:t>
      </w:r>
      <w:r>
        <w:rPr>
          <w:i/>
        </w:rPr>
        <w:t>performance,</w:t>
      </w:r>
      <w:r>
        <w:rPr>
          <w:i/>
          <w:spacing w:val="-7"/>
        </w:rPr>
        <w:t xml:space="preserve"> </w:t>
      </w:r>
      <w:r>
        <w:rPr>
          <w:i/>
        </w:rPr>
        <w:t>time</w:t>
      </w:r>
      <w:r>
        <w:rPr>
          <w:i/>
          <w:spacing w:val="-4"/>
        </w:rPr>
        <w:t xml:space="preserve"> </w:t>
      </w:r>
      <w:r>
        <w:rPr>
          <w:i/>
        </w:rPr>
        <w:t>in</w:t>
      </w:r>
      <w:r>
        <w:rPr>
          <w:i/>
          <w:spacing w:val="-7"/>
        </w:rPr>
        <w:t xml:space="preserve"> </w:t>
      </w:r>
      <w:r>
        <w:rPr>
          <w:i/>
        </w:rPr>
        <w:t>rank,</w:t>
      </w:r>
      <w:r>
        <w:rPr>
          <w:i/>
          <w:spacing w:val="-4"/>
        </w:rPr>
        <w:t xml:space="preserve"> </w:t>
      </w:r>
      <w:r>
        <w:rPr>
          <w:i/>
        </w:rPr>
        <w:t>and</w:t>
      </w:r>
      <w:r>
        <w:rPr>
          <w:i/>
          <w:spacing w:val="-5"/>
        </w:rPr>
        <w:t xml:space="preserve"> </w:t>
      </w:r>
      <w:r>
        <w:rPr>
          <w:i/>
        </w:rPr>
        <w:t>so</w:t>
      </w:r>
      <w:r>
        <w:rPr>
          <w:i/>
          <w:spacing w:val="-7"/>
        </w:rPr>
        <w:t xml:space="preserve"> </w:t>
      </w:r>
      <w:r>
        <w:rPr>
          <w:i/>
        </w:rPr>
        <w:t>forth. The faculty advisory committee and others who have been involved in discussions of the study all agree that questions of merit should be addressed as a separate process within units. Any plans</w:t>
      </w:r>
      <w:r>
        <w:rPr>
          <w:i/>
          <w:spacing w:val="-11"/>
        </w:rPr>
        <w:t xml:space="preserve"> </w:t>
      </w:r>
      <w:r>
        <w:rPr>
          <w:i/>
        </w:rPr>
        <w:t>resulting</w:t>
      </w:r>
      <w:r>
        <w:rPr>
          <w:i/>
          <w:spacing w:val="-12"/>
        </w:rPr>
        <w:t xml:space="preserve"> </w:t>
      </w:r>
      <w:r>
        <w:rPr>
          <w:i/>
        </w:rPr>
        <w:t>from</w:t>
      </w:r>
      <w:r>
        <w:rPr>
          <w:i/>
          <w:spacing w:val="-13"/>
        </w:rPr>
        <w:t xml:space="preserve"> </w:t>
      </w:r>
      <w:r>
        <w:rPr>
          <w:i/>
        </w:rPr>
        <w:t>this</w:t>
      </w:r>
      <w:r>
        <w:rPr>
          <w:i/>
          <w:spacing w:val="-13"/>
        </w:rPr>
        <w:t xml:space="preserve"> </w:t>
      </w:r>
      <w:r>
        <w:rPr>
          <w:i/>
        </w:rPr>
        <w:t>study</w:t>
      </w:r>
      <w:r>
        <w:rPr>
          <w:i/>
          <w:spacing w:val="-12"/>
        </w:rPr>
        <w:t xml:space="preserve"> </w:t>
      </w:r>
      <w:r>
        <w:rPr>
          <w:i/>
        </w:rPr>
        <w:t>will</w:t>
      </w:r>
      <w:r>
        <w:rPr>
          <w:i/>
          <w:spacing w:val="-12"/>
        </w:rPr>
        <w:t xml:space="preserve"> </w:t>
      </w:r>
      <w:r>
        <w:rPr>
          <w:i/>
        </w:rPr>
        <w:t>move</w:t>
      </w:r>
      <w:r>
        <w:rPr>
          <w:i/>
          <w:spacing w:val="-14"/>
        </w:rPr>
        <w:t xml:space="preserve"> </w:t>
      </w:r>
      <w:r>
        <w:rPr>
          <w:i/>
        </w:rPr>
        <w:t>positions,</w:t>
      </w:r>
      <w:r>
        <w:rPr>
          <w:i/>
          <w:spacing w:val="-14"/>
        </w:rPr>
        <w:t xml:space="preserve"> </w:t>
      </w:r>
      <w:r>
        <w:rPr>
          <w:i/>
        </w:rPr>
        <w:t>not</w:t>
      </w:r>
      <w:r>
        <w:rPr>
          <w:i/>
          <w:spacing w:val="-11"/>
        </w:rPr>
        <w:t xml:space="preserve"> </w:t>
      </w:r>
      <w:r>
        <w:rPr>
          <w:i/>
        </w:rPr>
        <w:t>individuals,</w:t>
      </w:r>
      <w:r>
        <w:rPr>
          <w:i/>
          <w:spacing w:val="-11"/>
        </w:rPr>
        <w:t xml:space="preserve"> </w:t>
      </w:r>
      <w:r>
        <w:rPr>
          <w:i/>
        </w:rPr>
        <w:t>along</w:t>
      </w:r>
      <w:r>
        <w:rPr>
          <w:i/>
          <w:spacing w:val="-12"/>
        </w:rPr>
        <w:t xml:space="preserve"> </w:t>
      </w:r>
      <w:r>
        <w:rPr>
          <w:i/>
        </w:rPr>
        <w:t>a</w:t>
      </w:r>
      <w:r>
        <w:rPr>
          <w:i/>
          <w:spacing w:val="-12"/>
        </w:rPr>
        <w:t xml:space="preserve"> </w:t>
      </w:r>
      <w:r>
        <w:rPr>
          <w:i/>
        </w:rPr>
        <w:t>salary</w:t>
      </w:r>
      <w:r>
        <w:rPr>
          <w:i/>
          <w:spacing w:val="-12"/>
        </w:rPr>
        <w:t xml:space="preserve"> </w:t>
      </w:r>
      <w:r>
        <w:rPr>
          <w:i/>
        </w:rPr>
        <w:t>scale.</w:t>
      </w:r>
      <w:r>
        <w:rPr>
          <w:i/>
          <w:spacing w:val="-12"/>
        </w:rPr>
        <w:t xml:space="preserve"> </w:t>
      </w:r>
      <w:r>
        <w:rPr>
          <w:i/>
        </w:rPr>
        <w:t>–</w:t>
      </w:r>
      <w:r>
        <w:rPr>
          <w:i/>
          <w:spacing w:val="-12"/>
        </w:rPr>
        <w:t xml:space="preserve"> </w:t>
      </w:r>
      <w:r>
        <w:rPr>
          <w:i/>
        </w:rPr>
        <w:t>Former President Dorothy Leland – Letter to Faculty</w:t>
      </w:r>
      <w:r>
        <w:rPr>
          <w:i/>
          <w:spacing w:val="-17"/>
        </w:rPr>
        <w:t xml:space="preserve"> </w:t>
      </w:r>
      <w:r>
        <w:rPr>
          <w:i/>
        </w:rPr>
        <w:t>(2007)</w:t>
      </w:r>
    </w:p>
    <w:p w:rsidR="00094A60" w:rsidRDefault="000C5E77">
      <w:pPr>
        <w:pStyle w:val="BodyText"/>
        <w:spacing w:before="159" w:line="256" w:lineRule="auto"/>
        <w:ind w:left="119" w:right="114" w:hanging="1"/>
        <w:jc w:val="both"/>
      </w:pPr>
      <w:r>
        <w:t>The conclusions of the consultants were critical of Georgia College’s compensation practices and called for immediate actions to address insufficient funding.</w:t>
      </w:r>
    </w:p>
    <w:p w:rsidR="00094A60" w:rsidRDefault="000C5E77">
      <w:pPr>
        <w:spacing w:before="159" w:line="256" w:lineRule="auto"/>
        <w:ind w:left="479" w:right="654"/>
        <w:jc w:val="both"/>
        <w:rPr>
          <w:i/>
        </w:rPr>
      </w:pPr>
      <w:r>
        <w:rPr>
          <w:i/>
        </w:rPr>
        <w:t>“As this study objectively shows, there are faculty compensation issues that require attention. This</w:t>
      </w:r>
      <w:r>
        <w:rPr>
          <w:i/>
          <w:spacing w:val="-5"/>
        </w:rPr>
        <w:t xml:space="preserve"> </w:t>
      </w:r>
      <w:r>
        <w:rPr>
          <w:i/>
        </w:rPr>
        <w:t>is</w:t>
      </w:r>
      <w:r>
        <w:rPr>
          <w:i/>
          <w:spacing w:val="-6"/>
        </w:rPr>
        <w:t xml:space="preserve"> </w:t>
      </w:r>
      <w:r>
        <w:rPr>
          <w:i/>
        </w:rPr>
        <w:t>especially</w:t>
      </w:r>
      <w:r>
        <w:rPr>
          <w:i/>
          <w:spacing w:val="-6"/>
        </w:rPr>
        <w:t xml:space="preserve"> </w:t>
      </w:r>
      <w:r>
        <w:rPr>
          <w:i/>
        </w:rPr>
        <w:t>critical</w:t>
      </w:r>
      <w:r>
        <w:rPr>
          <w:i/>
          <w:spacing w:val="-6"/>
        </w:rPr>
        <w:t xml:space="preserve"> </w:t>
      </w:r>
      <w:r>
        <w:rPr>
          <w:i/>
        </w:rPr>
        <w:t>at</w:t>
      </w:r>
      <w:r>
        <w:rPr>
          <w:i/>
          <w:spacing w:val="-9"/>
        </w:rPr>
        <w:t xml:space="preserve"> </w:t>
      </w:r>
      <w:r>
        <w:rPr>
          <w:i/>
        </w:rPr>
        <w:t>a</w:t>
      </w:r>
      <w:r>
        <w:rPr>
          <w:i/>
          <w:spacing w:val="-6"/>
        </w:rPr>
        <w:t xml:space="preserve"> </w:t>
      </w:r>
      <w:r>
        <w:rPr>
          <w:i/>
        </w:rPr>
        <w:t>time</w:t>
      </w:r>
      <w:r>
        <w:rPr>
          <w:i/>
          <w:spacing w:val="-7"/>
        </w:rPr>
        <w:t xml:space="preserve"> </w:t>
      </w:r>
      <w:r>
        <w:rPr>
          <w:i/>
        </w:rPr>
        <w:t>when</w:t>
      </w:r>
      <w:r>
        <w:rPr>
          <w:i/>
          <w:spacing w:val="-7"/>
        </w:rPr>
        <w:t xml:space="preserve"> </w:t>
      </w:r>
      <w:r>
        <w:rPr>
          <w:i/>
        </w:rPr>
        <w:t>recruiting</w:t>
      </w:r>
      <w:r>
        <w:rPr>
          <w:i/>
          <w:spacing w:val="-6"/>
        </w:rPr>
        <w:t xml:space="preserve"> </w:t>
      </w:r>
      <w:r>
        <w:rPr>
          <w:i/>
        </w:rPr>
        <w:t>faculty</w:t>
      </w:r>
      <w:r>
        <w:rPr>
          <w:i/>
          <w:spacing w:val="-6"/>
        </w:rPr>
        <w:t xml:space="preserve"> </w:t>
      </w:r>
      <w:r>
        <w:rPr>
          <w:i/>
        </w:rPr>
        <w:t>at</w:t>
      </w:r>
      <w:r>
        <w:rPr>
          <w:i/>
          <w:spacing w:val="-5"/>
        </w:rPr>
        <w:t xml:space="preserve"> </w:t>
      </w:r>
      <w:r>
        <w:rPr>
          <w:i/>
        </w:rPr>
        <w:t>outstanding</w:t>
      </w:r>
      <w:r>
        <w:rPr>
          <w:i/>
          <w:spacing w:val="-6"/>
        </w:rPr>
        <w:t xml:space="preserve"> </w:t>
      </w:r>
      <w:r>
        <w:rPr>
          <w:i/>
        </w:rPr>
        <w:t>niche</w:t>
      </w:r>
      <w:r>
        <w:rPr>
          <w:i/>
          <w:spacing w:val="-5"/>
        </w:rPr>
        <w:t xml:space="preserve"> </w:t>
      </w:r>
      <w:r>
        <w:rPr>
          <w:i/>
        </w:rPr>
        <w:t>institutions,</w:t>
      </w:r>
      <w:r>
        <w:rPr>
          <w:i/>
          <w:spacing w:val="-6"/>
        </w:rPr>
        <w:t xml:space="preserve"> </w:t>
      </w:r>
      <w:r>
        <w:rPr>
          <w:i/>
        </w:rPr>
        <w:t>such as Georgia College &amp; State University, has become extremely competitive. We would posit that recruiting faculty for an institution like GCSU, where the data clearly show that faculty salaries are</w:t>
      </w:r>
      <w:r>
        <w:rPr>
          <w:i/>
          <w:spacing w:val="-9"/>
        </w:rPr>
        <w:t xml:space="preserve"> </w:t>
      </w:r>
      <w:r>
        <w:rPr>
          <w:i/>
        </w:rPr>
        <w:t>significantly</w:t>
      </w:r>
      <w:r>
        <w:rPr>
          <w:i/>
          <w:spacing w:val="-7"/>
        </w:rPr>
        <w:t xml:space="preserve"> </w:t>
      </w:r>
      <w:r>
        <w:rPr>
          <w:i/>
        </w:rPr>
        <w:t>below</w:t>
      </w:r>
      <w:r>
        <w:rPr>
          <w:i/>
          <w:spacing w:val="-11"/>
        </w:rPr>
        <w:t xml:space="preserve"> </w:t>
      </w:r>
      <w:r>
        <w:rPr>
          <w:i/>
        </w:rPr>
        <w:t>market,</w:t>
      </w:r>
      <w:r>
        <w:rPr>
          <w:i/>
          <w:spacing w:val="-9"/>
        </w:rPr>
        <w:t xml:space="preserve"> </w:t>
      </w:r>
      <w:r>
        <w:rPr>
          <w:i/>
        </w:rPr>
        <w:t>is</w:t>
      </w:r>
      <w:r>
        <w:rPr>
          <w:i/>
          <w:spacing w:val="-9"/>
        </w:rPr>
        <w:t xml:space="preserve"> </w:t>
      </w:r>
      <w:r>
        <w:rPr>
          <w:i/>
        </w:rPr>
        <w:t>even</w:t>
      </w:r>
      <w:r>
        <w:rPr>
          <w:i/>
          <w:spacing w:val="-10"/>
        </w:rPr>
        <w:t xml:space="preserve"> </w:t>
      </w:r>
      <w:r>
        <w:rPr>
          <w:i/>
        </w:rPr>
        <w:t>more</w:t>
      </w:r>
      <w:r>
        <w:rPr>
          <w:i/>
          <w:spacing w:val="-9"/>
        </w:rPr>
        <w:t xml:space="preserve"> </w:t>
      </w:r>
      <w:r>
        <w:rPr>
          <w:i/>
        </w:rPr>
        <w:t>acute</w:t>
      </w:r>
      <w:r>
        <w:rPr>
          <w:i/>
          <w:spacing w:val="-9"/>
        </w:rPr>
        <w:t xml:space="preserve"> </w:t>
      </w:r>
      <w:r>
        <w:rPr>
          <w:i/>
        </w:rPr>
        <w:t>as</w:t>
      </w:r>
      <w:r>
        <w:rPr>
          <w:i/>
          <w:spacing w:val="-8"/>
        </w:rPr>
        <w:t xml:space="preserve"> </w:t>
      </w:r>
      <w:r>
        <w:rPr>
          <w:i/>
        </w:rPr>
        <w:t>a</w:t>
      </w:r>
      <w:r>
        <w:rPr>
          <w:i/>
          <w:spacing w:val="-7"/>
        </w:rPr>
        <w:t xml:space="preserve"> </w:t>
      </w:r>
      <w:r>
        <w:rPr>
          <w:i/>
        </w:rPr>
        <w:t>considerable</w:t>
      </w:r>
      <w:r>
        <w:rPr>
          <w:i/>
          <w:spacing w:val="-9"/>
        </w:rPr>
        <w:t xml:space="preserve"> </w:t>
      </w:r>
      <w:r>
        <w:rPr>
          <w:i/>
        </w:rPr>
        <w:t>number</w:t>
      </w:r>
      <w:r>
        <w:rPr>
          <w:i/>
          <w:spacing w:val="-8"/>
        </w:rPr>
        <w:t xml:space="preserve"> </w:t>
      </w:r>
      <w:r>
        <w:rPr>
          <w:i/>
        </w:rPr>
        <w:t>of</w:t>
      </w:r>
      <w:r>
        <w:rPr>
          <w:i/>
          <w:spacing w:val="-7"/>
        </w:rPr>
        <w:t xml:space="preserve"> </w:t>
      </w:r>
      <w:r>
        <w:rPr>
          <w:i/>
        </w:rPr>
        <w:t>private</w:t>
      </w:r>
      <w:r>
        <w:rPr>
          <w:i/>
          <w:spacing w:val="-6"/>
        </w:rPr>
        <w:t xml:space="preserve"> </w:t>
      </w:r>
      <w:r>
        <w:rPr>
          <w:i/>
        </w:rPr>
        <w:t>peer</w:t>
      </w:r>
      <w:r>
        <w:rPr>
          <w:i/>
          <w:spacing w:val="-8"/>
        </w:rPr>
        <w:t xml:space="preserve"> </w:t>
      </w:r>
      <w:r>
        <w:rPr>
          <w:i/>
        </w:rPr>
        <w:t>and aspirant institutions have both the operating budget and the endowment to support the “new” liberal arts faculty marketplace. Pappas Consulting Group -- Final Report</w:t>
      </w:r>
      <w:r>
        <w:rPr>
          <w:i/>
          <w:spacing w:val="-27"/>
        </w:rPr>
        <w:t xml:space="preserve"> </w:t>
      </w:r>
      <w:r>
        <w:rPr>
          <w:i/>
        </w:rPr>
        <w:t>(2007)</w:t>
      </w:r>
    </w:p>
    <w:p w:rsidR="00094A60" w:rsidRDefault="00094A60">
      <w:pPr>
        <w:spacing w:line="256" w:lineRule="auto"/>
        <w:jc w:val="both"/>
        <w:sectPr w:rsidR="00094A60">
          <w:pgSz w:w="12240" w:h="15840"/>
          <w:pgMar w:top="1400" w:right="1320" w:bottom="1200" w:left="1320" w:header="0" w:footer="1017" w:gutter="0"/>
          <w:cols w:space="720"/>
        </w:sectPr>
      </w:pPr>
    </w:p>
    <w:p w:rsidR="00094A60" w:rsidRDefault="000C5E77">
      <w:pPr>
        <w:pStyle w:val="Heading1"/>
        <w:numPr>
          <w:ilvl w:val="0"/>
          <w:numId w:val="2"/>
        </w:numPr>
        <w:tabs>
          <w:tab w:val="left" w:pos="840"/>
        </w:tabs>
        <w:ind w:left="839" w:hanging="720"/>
        <w:jc w:val="left"/>
      </w:pPr>
      <w:bookmarkStart w:id="5" w:name="_TOC_250013"/>
      <w:r>
        <w:lastRenderedPageBreak/>
        <w:t>Review of</w:t>
      </w:r>
      <w:r>
        <w:rPr>
          <w:spacing w:val="-7"/>
        </w:rPr>
        <w:t xml:space="preserve"> </w:t>
      </w:r>
      <w:bookmarkEnd w:id="5"/>
      <w:r>
        <w:t>Process</w:t>
      </w:r>
    </w:p>
    <w:p w:rsidR="00094A60" w:rsidRDefault="000C5E77">
      <w:pPr>
        <w:pStyle w:val="Heading1"/>
        <w:numPr>
          <w:ilvl w:val="1"/>
          <w:numId w:val="2"/>
        </w:numPr>
        <w:tabs>
          <w:tab w:val="left" w:pos="1200"/>
        </w:tabs>
        <w:spacing w:before="17"/>
        <w:jc w:val="left"/>
      </w:pPr>
      <w:bookmarkStart w:id="6" w:name="_TOC_250012"/>
      <w:bookmarkEnd w:id="6"/>
      <w:r>
        <w:t>Challenges</w:t>
      </w:r>
    </w:p>
    <w:p w:rsidR="00094A60" w:rsidRDefault="000C5E77">
      <w:pPr>
        <w:pStyle w:val="BodyText"/>
        <w:spacing w:before="178" w:line="256" w:lineRule="auto"/>
        <w:ind w:left="480" w:right="113"/>
        <w:jc w:val="both"/>
      </w:pPr>
      <w:r>
        <w:t>The Task Force’s challenge of undertaking the faculty salary study started with understanding ourselves. Our first discovery was that we, as an institution, did not keep adequate track of and correctly categorize our own faculty members. There were discrepancies in salaries for individuals, some faculty members were listed as being assigned to the wrong department and, in some cases, the wrong college, and limited term or part-time faculty were categorized as full- time to name just a few of the problems. Our first (and most complicated) task was to make sure we</w:t>
      </w:r>
      <w:r>
        <w:rPr>
          <w:spacing w:val="-1"/>
        </w:rPr>
        <w:t xml:space="preserve"> </w:t>
      </w:r>
      <w:r>
        <w:t>had</w:t>
      </w:r>
      <w:r>
        <w:rPr>
          <w:spacing w:val="-5"/>
        </w:rPr>
        <w:t xml:space="preserve"> </w:t>
      </w:r>
      <w:r>
        <w:t>an</w:t>
      </w:r>
      <w:r>
        <w:rPr>
          <w:spacing w:val="-5"/>
        </w:rPr>
        <w:t xml:space="preserve"> </w:t>
      </w:r>
      <w:r>
        <w:t>accurate</w:t>
      </w:r>
      <w:r>
        <w:rPr>
          <w:spacing w:val="-1"/>
        </w:rPr>
        <w:t xml:space="preserve"> </w:t>
      </w:r>
      <w:r>
        <w:t>and</w:t>
      </w:r>
      <w:r>
        <w:rPr>
          <w:spacing w:val="-5"/>
        </w:rPr>
        <w:t xml:space="preserve"> </w:t>
      </w:r>
      <w:r>
        <w:t>error-free</w:t>
      </w:r>
      <w:r>
        <w:rPr>
          <w:spacing w:val="-4"/>
        </w:rPr>
        <w:t xml:space="preserve"> </w:t>
      </w:r>
      <w:r>
        <w:t>inventory</w:t>
      </w:r>
      <w:r>
        <w:rPr>
          <w:spacing w:val="-6"/>
        </w:rPr>
        <w:t xml:space="preserve"> </w:t>
      </w:r>
      <w:r>
        <w:t>of</w:t>
      </w:r>
      <w:r>
        <w:rPr>
          <w:spacing w:val="-2"/>
        </w:rPr>
        <w:t xml:space="preserve"> </w:t>
      </w:r>
      <w:r>
        <w:t>all</w:t>
      </w:r>
      <w:r>
        <w:rPr>
          <w:spacing w:val="-5"/>
        </w:rPr>
        <w:t xml:space="preserve"> </w:t>
      </w:r>
      <w:r>
        <w:t>faculty</w:t>
      </w:r>
      <w:r>
        <w:rPr>
          <w:spacing w:val="-3"/>
        </w:rPr>
        <w:t xml:space="preserve"> </w:t>
      </w:r>
      <w:r>
        <w:t>members.</w:t>
      </w:r>
      <w:r>
        <w:rPr>
          <w:spacing w:val="-5"/>
        </w:rPr>
        <w:t xml:space="preserve"> </w:t>
      </w:r>
      <w:r>
        <w:t>We</w:t>
      </w:r>
      <w:r>
        <w:rPr>
          <w:spacing w:val="-4"/>
        </w:rPr>
        <w:t xml:space="preserve"> </w:t>
      </w:r>
      <w:r>
        <w:t>asked</w:t>
      </w:r>
      <w:r>
        <w:rPr>
          <w:spacing w:val="-5"/>
        </w:rPr>
        <w:t xml:space="preserve"> </w:t>
      </w:r>
      <w:r>
        <w:t>our</w:t>
      </w:r>
      <w:r>
        <w:rPr>
          <w:spacing w:val="-4"/>
        </w:rPr>
        <w:t xml:space="preserve"> </w:t>
      </w:r>
      <w:r>
        <w:t>academic</w:t>
      </w:r>
      <w:r>
        <w:rPr>
          <w:spacing w:val="-4"/>
        </w:rPr>
        <w:t xml:space="preserve"> </w:t>
      </w:r>
      <w:r>
        <w:t>unit deans – in collaboration with associate/ assistant deans and department chairs – to review the list of faculty members in their respective academic unit for accuracy in salary, rank, and CIP</w:t>
      </w:r>
      <w:r w:rsidR="00167376">
        <w:t xml:space="preserve"> </w:t>
      </w:r>
      <w:r>
        <w:t>(Classification of Instructional Programs) code and provide annotations where errors were detected. We strongly suggest (see Recommendations below) that the university undertakes an annual audit of the inventory of faculty</w:t>
      </w:r>
      <w:r>
        <w:rPr>
          <w:spacing w:val="-14"/>
        </w:rPr>
        <w:t xml:space="preserve"> </w:t>
      </w:r>
      <w:r>
        <w:t>members.</w:t>
      </w:r>
    </w:p>
    <w:p w:rsidR="00094A60" w:rsidRDefault="000C5E77">
      <w:pPr>
        <w:pStyle w:val="BodyText"/>
        <w:spacing w:before="159" w:line="256" w:lineRule="auto"/>
        <w:ind w:left="480" w:right="112"/>
        <w:jc w:val="both"/>
      </w:pPr>
      <w:r>
        <w:t xml:space="preserve">The Task Force’s second challenge was to determine to what institutions our faculty salaries should be compared. The Task Force quickly encountered a logistical problem (discussed in Data Collection and Methodology below): to mine a sufficient amount of data from the CUPA-HR faculty salary survey responses to obtain an adequate number of faculty in each category (rank and CIP combination) for the CUPA-HR reports to provide summary statistics. We had to cast a wider net than the initial group of aspirational and comparator institutions determined by </w:t>
      </w:r>
      <w:r>
        <w:rPr>
          <w:spacing w:val="-3"/>
        </w:rPr>
        <w:t xml:space="preserve">the </w:t>
      </w:r>
      <w:r>
        <w:t>institution and Board of Regents, respectively. The wider net embraced all institutions with Carnegie Classification of Master’s responding to the CUPA-HR salary survey. This larger comparison group included institutions that are less like Georgia College than we might have preferred. Ultimately, in order to have enough data to produce salary bands, we deemed it appropriate</w:t>
      </w:r>
      <w:r>
        <w:rPr>
          <w:spacing w:val="-6"/>
        </w:rPr>
        <w:t xml:space="preserve"> </w:t>
      </w:r>
      <w:r>
        <w:t>(and</w:t>
      </w:r>
      <w:r>
        <w:rPr>
          <w:spacing w:val="-5"/>
        </w:rPr>
        <w:t xml:space="preserve"> </w:t>
      </w:r>
      <w:r>
        <w:t>received</w:t>
      </w:r>
      <w:r>
        <w:rPr>
          <w:spacing w:val="-7"/>
        </w:rPr>
        <w:t xml:space="preserve"> </w:t>
      </w:r>
      <w:r>
        <w:t>approval</w:t>
      </w:r>
      <w:r>
        <w:rPr>
          <w:spacing w:val="-7"/>
        </w:rPr>
        <w:t xml:space="preserve"> </w:t>
      </w:r>
      <w:r>
        <w:t>from</w:t>
      </w:r>
      <w:r>
        <w:rPr>
          <w:spacing w:val="-5"/>
        </w:rPr>
        <w:t xml:space="preserve"> </w:t>
      </w:r>
      <w:r>
        <w:t>the</w:t>
      </w:r>
      <w:r>
        <w:rPr>
          <w:spacing w:val="-6"/>
        </w:rPr>
        <w:t xml:space="preserve"> </w:t>
      </w:r>
      <w:r>
        <w:t>administration)</w:t>
      </w:r>
      <w:r>
        <w:rPr>
          <w:spacing w:val="-6"/>
        </w:rPr>
        <w:t xml:space="preserve"> </w:t>
      </w:r>
      <w:r>
        <w:t>to</w:t>
      </w:r>
      <w:r>
        <w:rPr>
          <w:spacing w:val="-3"/>
        </w:rPr>
        <w:t xml:space="preserve"> </w:t>
      </w:r>
      <w:r>
        <w:t>use</w:t>
      </w:r>
      <w:r>
        <w:rPr>
          <w:spacing w:val="-6"/>
        </w:rPr>
        <w:t xml:space="preserve"> </w:t>
      </w:r>
      <w:r>
        <w:t>the</w:t>
      </w:r>
      <w:r>
        <w:rPr>
          <w:spacing w:val="-6"/>
        </w:rPr>
        <w:t xml:space="preserve"> </w:t>
      </w:r>
      <w:r>
        <w:t>larger</w:t>
      </w:r>
      <w:r>
        <w:rPr>
          <w:spacing w:val="-7"/>
        </w:rPr>
        <w:t xml:space="preserve"> </w:t>
      </w:r>
      <w:r>
        <w:t>comparison</w:t>
      </w:r>
      <w:r>
        <w:rPr>
          <w:spacing w:val="-8"/>
        </w:rPr>
        <w:t xml:space="preserve"> </w:t>
      </w:r>
      <w:r>
        <w:t>group.</w:t>
      </w:r>
    </w:p>
    <w:p w:rsidR="00094A60" w:rsidRDefault="000C5E77">
      <w:pPr>
        <w:pStyle w:val="BodyText"/>
        <w:spacing w:before="159" w:line="254" w:lineRule="auto"/>
        <w:ind w:left="479" w:right="113"/>
        <w:jc w:val="both"/>
      </w:pPr>
      <w:r>
        <w:t>The</w:t>
      </w:r>
      <w:r>
        <w:rPr>
          <w:spacing w:val="-6"/>
        </w:rPr>
        <w:t xml:space="preserve"> </w:t>
      </w:r>
      <w:r>
        <w:t>final</w:t>
      </w:r>
      <w:r>
        <w:rPr>
          <w:spacing w:val="-7"/>
        </w:rPr>
        <w:t xml:space="preserve"> </w:t>
      </w:r>
      <w:r>
        <w:t>challenge</w:t>
      </w:r>
      <w:r>
        <w:rPr>
          <w:spacing w:val="-8"/>
        </w:rPr>
        <w:t xml:space="preserve"> </w:t>
      </w:r>
      <w:r>
        <w:t>was</w:t>
      </w:r>
      <w:r>
        <w:rPr>
          <w:spacing w:val="-7"/>
        </w:rPr>
        <w:t xml:space="preserve"> </w:t>
      </w:r>
      <w:r>
        <w:t>determining</w:t>
      </w:r>
      <w:r>
        <w:rPr>
          <w:spacing w:val="-7"/>
        </w:rPr>
        <w:t xml:space="preserve"> </w:t>
      </w:r>
      <w:r>
        <w:t>how</w:t>
      </w:r>
      <w:r>
        <w:rPr>
          <w:spacing w:val="-6"/>
        </w:rPr>
        <w:t xml:space="preserve"> </w:t>
      </w:r>
      <w:r>
        <w:t>best</w:t>
      </w:r>
      <w:r>
        <w:rPr>
          <w:spacing w:val="-6"/>
        </w:rPr>
        <w:t xml:space="preserve"> </w:t>
      </w:r>
      <w:r>
        <w:t>to</w:t>
      </w:r>
      <w:r>
        <w:rPr>
          <w:spacing w:val="-5"/>
        </w:rPr>
        <w:t xml:space="preserve"> </w:t>
      </w:r>
      <w:r>
        <w:t>present</w:t>
      </w:r>
      <w:r>
        <w:rPr>
          <w:spacing w:val="-6"/>
        </w:rPr>
        <w:t xml:space="preserve"> </w:t>
      </w:r>
      <w:r>
        <w:t>the</w:t>
      </w:r>
      <w:r>
        <w:rPr>
          <w:spacing w:val="-6"/>
        </w:rPr>
        <w:t xml:space="preserve"> </w:t>
      </w:r>
      <w:r>
        <w:t>data.</w:t>
      </w:r>
      <w:r>
        <w:rPr>
          <w:spacing w:val="-9"/>
        </w:rPr>
        <w:t xml:space="preserve"> </w:t>
      </w:r>
      <w:r>
        <w:t>There</w:t>
      </w:r>
      <w:r>
        <w:rPr>
          <w:spacing w:val="-6"/>
        </w:rPr>
        <w:t xml:space="preserve"> </w:t>
      </w:r>
      <w:r>
        <w:t>are</w:t>
      </w:r>
      <w:r>
        <w:rPr>
          <w:spacing w:val="-6"/>
        </w:rPr>
        <w:t xml:space="preserve"> </w:t>
      </w:r>
      <w:r>
        <w:t>a</w:t>
      </w:r>
      <w:r>
        <w:rPr>
          <w:spacing w:val="-9"/>
        </w:rPr>
        <w:t xml:space="preserve"> </w:t>
      </w:r>
      <w:r>
        <w:t>variety</w:t>
      </w:r>
      <w:r>
        <w:rPr>
          <w:spacing w:val="-8"/>
        </w:rPr>
        <w:t xml:space="preserve"> </w:t>
      </w:r>
      <w:r>
        <w:t>of</w:t>
      </w:r>
      <w:r>
        <w:rPr>
          <w:spacing w:val="-7"/>
        </w:rPr>
        <w:t xml:space="preserve"> </w:t>
      </w:r>
      <w:r>
        <w:t>statistics that</w:t>
      </w:r>
      <w:r>
        <w:rPr>
          <w:spacing w:val="-4"/>
        </w:rPr>
        <w:t xml:space="preserve"> </w:t>
      </w:r>
      <w:r>
        <w:t>could</w:t>
      </w:r>
      <w:r>
        <w:rPr>
          <w:spacing w:val="-5"/>
        </w:rPr>
        <w:t xml:space="preserve"> </w:t>
      </w:r>
      <w:r>
        <w:t>be</w:t>
      </w:r>
      <w:r>
        <w:rPr>
          <w:spacing w:val="-4"/>
        </w:rPr>
        <w:t xml:space="preserve"> </w:t>
      </w:r>
      <w:r>
        <w:t>used</w:t>
      </w:r>
      <w:r>
        <w:rPr>
          <w:spacing w:val="-8"/>
        </w:rPr>
        <w:t xml:space="preserve"> </w:t>
      </w:r>
      <w:r>
        <w:t>to</w:t>
      </w:r>
      <w:r>
        <w:rPr>
          <w:spacing w:val="-5"/>
        </w:rPr>
        <w:t xml:space="preserve"> </w:t>
      </w:r>
      <w:r>
        <w:t>compare</w:t>
      </w:r>
      <w:r>
        <w:rPr>
          <w:spacing w:val="-4"/>
        </w:rPr>
        <w:t xml:space="preserve"> </w:t>
      </w:r>
      <w:r>
        <w:t>faculty</w:t>
      </w:r>
      <w:r>
        <w:rPr>
          <w:spacing w:val="-3"/>
        </w:rPr>
        <w:t xml:space="preserve"> </w:t>
      </w:r>
      <w:r>
        <w:t>salaries</w:t>
      </w:r>
      <w:r>
        <w:rPr>
          <w:spacing w:val="-4"/>
        </w:rPr>
        <w:t xml:space="preserve"> </w:t>
      </w:r>
      <w:r>
        <w:t>among</w:t>
      </w:r>
      <w:r>
        <w:rPr>
          <w:spacing w:val="-5"/>
        </w:rPr>
        <w:t xml:space="preserve"> </w:t>
      </w:r>
      <w:r>
        <w:t>the</w:t>
      </w:r>
      <w:r>
        <w:rPr>
          <w:spacing w:val="-4"/>
        </w:rPr>
        <w:t xml:space="preserve"> </w:t>
      </w:r>
      <w:r>
        <w:t>institutions.</w:t>
      </w:r>
      <w:r>
        <w:rPr>
          <w:spacing w:val="-4"/>
        </w:rPr>
        <w:t xml:space="preserve"> </w:t>
      </w:r>
      <w:r>
        <w:t>For</w:t>
      </w:r>
      <w:r>
        <w:rPr>
          <w:spacing w:val="-7"/>
        </w:rPr>
        <w:t xml:space="preserve"> </w:t>
      </w:r>
      <w:r>
        <w:t>each</w:t>
      </w:r>
      <w:r>
        <w:rPr>
          <w:spacing w:val="-7"/>
        </w:rPr>
        <w:t xml:space="preserve"> </w:t>
      </w:r>
      <w:r>
        <w:t>category</w:t>
      </w:r>
      <w:r>
        <w:rPr>
          <w:spacing w:val="-3"/>
        </w:rPr>
        <w:t xml:space="preserve"> </w:t>
      </w:r>
      <w:r>
        <w:t>(CIP</w:t>
      </w:r>
      <w:r>
        <w:rPr>
          <w:spacing w:val="-3"/>
        </w:rPr>
        <w:t xml:space="preserve"> </w:t>
      </w:r>
      <w:r>
        <w:t>and rank),</w:t>
      </w:r>
      <w:r>
        <w:rPr>
          <w:spacing w:val="-4"/>
        </w:rPr>
        <w:t xml:space="preserve"> </w:t>
      </w:r>
      <w:r>
        <w:t>the</w:t>
      </w:r>
      <w:r>
        <w:rPr>
          <w:spacing w:val="-4"/>
        </w:rPr>
        <w:t xml:space="preserve"> </w:t>
      </w:r>
      <w:r>
        <w:t>Task</w:t>
      </w:r>
      <w:r>
        <w:rPr>
          <w:spacing w:val="-4"/>
        </w:rPr>
        <w:t xml:space="preserve"> </w:t>
      </w:r>
      <w:r>
        <w:t>Force</w:t>
      </w:r>
      <w:r>
        <w:rPr>
          <w:spacing w:val="-4"/>
        </w:rPr>
        <w:t xml:space="preserve"> </w:t>
      </w:r>
      <w:r>
        <w:t>ultimately</w:t>
      </w:r>
      <w:r>
        <w:rPr>
          <w:spacing w:val="-3"/>
        </w:rPr>
        <w:t xml:space="preserve"> </w:t>
      </w:r>
      <w:r>
        <w:t>chose</w:t>
      </w:r>
      <w:r>
        <w:rPr>
          <w:spacing w:val="-6"/>
        </w:rPr>
        <w:t xml:space="preserve"> </w:t>
      </w:r>
      <w:r>
        <w:t>to</w:t>
      </w:r>
      <w:r>
        <w:rPr>
          <w:spacing w:val="-3"/>
        </w:rPr>
        <w:t xml:space="preserve"> </w:t>
      </w:r>
      <w:r>
        <w:t>use</w:t>
      </w:r>
      <w:r>
        <w:rPr>
          <w:spacing w:val="-4"/>
        </w:rPr>
        <w:t xml:space="preserve"> </w:t>
      </w:r>
      <w:r>
        <w:t>a</w:t>
      </w:r>
      <w:r>
        <w:rPr>
          <w:spacing w:val="-5"/>
        </w:rPr>
        <w:t xml:space="preserve"> </w:t>
      </w:r>
      <w:r>
        <w:t>variation</w:t>
      </w:r>
      <w:r>
        <w:rPr>
          <w:spacing w:val="-5"/>
        </w:rPr>
        <w:t xml:space="preserve"> </w:t>
      </w:r>
      <w:r>
        <w:t>on</w:t>
      </w:r>
      <w:r>
        <w:rPr>
          <w:spacing w:val="-5"/>
        </w:rPr>
        <w:t xml:space="preserve"> </w:t>
      </w:r>
      <w:r>
        <w:t>the</w:t>
      </w:r>
      <w:r>
        <w:rPr>
          <w:spacing w:val="-4"/>
        </w:rPr>
        <w:t xml:space="preserve"> </w:t>
      </w:r>
      <w:proofErr w:type="gramStart"/>
      <w:r>
        <w:t>five</w:t>
      </w:r>
      <w:r>
        <w:rPr>
          <w:spacing w:val="-4"/>
        </w:rPr>
        <w:t xml:space="preserve"> </w:t>
      </w:r>
      <w:r>
        <w:t>number</w:t>
      </w:r>
      <w:proofErr w:type="gramEnd"/>
      <w:r>
        <w:rPr>
          <w:spacing w:val="-4"/>
        </w:rPr>
        <w:t xml:space="preserve"> </w:t>
      </w:r>
      <w:r>
        <w:t>summary</w:t>
      </w:r>
      <w:r>
        <w:rPr>
          <w:spacing w:val="-4"/>
        </w:rPr>
        <w:t xml:space="preserve"> </w:t>
      </w:r>
      <w:r>
        <w:t>(minimum, first</w:t>
      </w:r>
      <w:r>
        <w:rPr>
          <w:spacing w:val="-11"/>
        </w:rPr>
        <w:t xml:space="preserve"> </w:t>
      </w:r>
      <w:r>
        <w:t>quartile,</w:t>
      </w:r>
      <w:r>
        <w:rPr>
          <w:spacing w:val="-16"/>
        </w:rPr>
        <w:t xml:space="preserve"> </w:t>
      </w:r>
      <w:r>
        <w:t>median,</w:t>
      </w:r>
      <w:r>
        <w:rPr>
          <w:spacing w:val="-14"/>
        </w:rPr>
        <w:t xml:space="preserve"> </w:t>
      </w:r>
      <w:r>
        <w:t>third</w:t>
      </w:r>
      <w:r>
        <w:rPr>
          <w:spacing w:val="-14"/>
        </w:rPr>
        <w:t xml:space="preserve"> </w:t>
      </w:r>
      <w:r>
        <w:t>quartile,</w:t>
      </w:r>
      <w:r>
        <w:rPr>
          <w:spacing w:val="-14"/>
        </w:rPr>
        <w:t xml:space="preserve"> </w:t>
      </w:r>
      <w:r>
        <w:t>maximum)</w:t>
      </w:r>
      <w:r>
        <w:rPr>
          <w:spacing w:val="-14"/>
        </w:rPr>
        <w:t xml:space="preserve"> </w:t>
      </w:r>
      <w:r>
        <w:t>operationalized</w:t>
      </w:r>
      <w:r>
        <w:rPr>
          <w:spacing w:val="-12"/>
        </w:rPr>
        <w:t xml:space="preserve"> </w:t>
      </w:r>
      <w:r>
        <w:t>as</w:t>
      </w:r>
      <w:r>
        <w:rPr>
          <w:spacing w:val="-14"/>
        </w:rPr>
        <w:t xml:space="preserve"> </w:t>
      </w:r>
      <w:r>
        <w:t>the</w:t>
      </w:r>
      <w:r>
        <w:rPr>
          <w:spacing w:val="-13"/>
        </w:rPr>
        <w:t xml:space="preserve"> </w:t>
      </w:r>
      <w:r>
        <w:t>5</w:t>
      </w:r>
      <w:proofErr w:type="spellStart"/>
      <w:r>
        <w:rPr>
          <w:position w:val="8"/>
          <w:sz w:val="14"/>
        </w:rPr>
        <w:t>th</w:t>
      </w:r>
      <w:proofErr w:type="spellEnd"/>
      <w:r>
        <w:rPr>
          <w:spacing w:val="6"/>
          <w:position w:val="8"/>
          <w:sz w:val="14"/>
        </w:rPr>
        <w:t xml:space="preserve"> </w:t>
      </w:r>
      <w:r>
        <w:t>percentile,</w:t>
      </w:r>
      <w:r>
        <w:rPr>
          <w:spacing w:val="-11"/>
        </w:rPr>
        <w:t xml:space="preserve"> </w:t>
      </w:r>
      <w:r>
        <w:t>first</w:t>
      </w:r>
      <w:r>
        <w:rPr>
          <w:spacing w:val="-13"/>
        </w:rPr>
        <w:t xml:space="preserve"> </w:t>
      </w:r>
      <w:r>
        <w:t>quartile, median, third quartile and 95</w:t>
      </w:r>
      <w:proofErr w:type="spellStart"/>
      <w:r>
        <w:rPr>
          <w:position w:val="8"/>
          <w:sz w:val="14"/>
        </w:rPr>
        <w:t>th</w:t>
      </w:r>
      <w:proofErr w:type="spellEnd"/>
      <w:r>
        <w:rPr>
          <w:position w:val="8"/>
          <w:sz w:val="14"/>
        </w:rPr>
        <w:t xml:space="preserve"> </w:t>
      </w:r>
      <w:r>
        <w:t>percentile of salaries reported by the other Master’s institutions. These</w:t>
      </w:r>
      <w:r>
        <w:rPr>
          <w:spacing w:val="-11"/>
        </w:rPr>
        <w:t xml:space="preserve"> </w:t>
      </w:r>
      <w:r>
        <w:t>data</w:t>
      </w:r>
      <w:r>
        <w:rPr>
          <w:spacing w:val="-9"/>
        </w:rPr>
        <w:t xml:space="preserve"> </w:t>
      </w:r>
      <w:r>
        <w:t>are</w:t>
      </w:r>
      <w:r>
        <w:rPr>
          <w:spacing w:val="-8"/>
        </w:rPr>
        <w:t xml:space="preserve"> </w:t>
      </w:r>
      <w:r>
        <w:t>provided</w:t>
      </w:r>
      <w:r>
        <w:rPr>
          <w:spacing w:val="-10"/>
        </w:rPr>
        <w:t xml:space="preserve"> </w:t>
      </w:r>
      <w:r>
        <w:t>(in</w:t>
      </w:r>
      <w:r>
        <w:rPr>
          <w:spacing w:val="-12"/>
        </w:rPr>
        <w:t xml:space="preserve"> </w:t>
      </w:r>
      <w:r>
        <w:t>the</w:t>
      </w:r>
      <w:r>
        <w:rPr>
          <w:spacing w:val="-11"/>
        </w:rPr>
        <w:t xml:space="preserve"> </w:t>
      </w:r>
      <w:r>
        <w:t>Appendices</w:t>
      </w:r>
      <w:r>
        <w:rPr>
          <w:spacing w:val="-9"/>
        </w:rPr>
        <w:t xml:space="preserve"> </w:t>
      </w:r>
      <w:proofErr w:type="spellStart"/>
      <w:r>
        <w:t>i</w:t>
      </w:r>
      <w:proofErr w:type="spellEnd"/>
      <w:r>
        <w:t>,</w:t>
      </w:r>
      <w:r>
        <w:rPr>
          <w:spacing w:val="-9"/>
        </w:rPr>
        <w:t xml:space="preserve"> </w:t>
      </w:r>
      <w:r>
        <w:t>ii,</w:t>
      </w:r>
      <w:r>
        <w:rPr>
          <w:spacing w:val="-11"/>
        </w:rPr>
        <w:t xml:space="preserve"> </w:t>
      </w:r>
      <w:r>
        <w:t>and</w:t>
      </w:r>
      <w:r>
        <w:rPr>
          <w:spacing w:val="-10"/>
        </w:rPr>
        <w:t xml:space="preserve"> </w:t>
      </w:r>
      <w:r>
        <w:t>iii</w:t>
      </w:r>
      <w:r>
        <w:rPr>
          <w:spacing w:val="-12"/>
        </w:rPr>
        <w:t xml:space="preserve"> </w:t>
      </w:r>
      <w:r>
        <w:t>to</w:t>
      </w:r>
      <w:r>
        <w:rPr>
          <w:spacing w:val="-8"/>
        </w:rPr>
        <w:t xml:space="preserve"> </w:t>
      </w:r>
      <w:r>
        <w:t>this</w:t>
      </w:r>
      <w:r>
        <w:rPr>
          <w:spacing w:val="-11"/>
        </w:rPr>
        <w:t xml:space="preserve"> </w:t>
      </w:r>
      <w:r>
        <w:t>report)</w:t>
      </w:r>
      <w:r>
        <w:rPr>
          <w:spacing w:val="-11"/>
        </w:rPr>
        <w:t xml:space="preserve"> </w:t>
      </w:r>
      <w:r>
        <w:t>in</w:t>
      </w:r>
      <w:r>
        <w:rPr>
          <w:spacing w:val="-10"/>
        </w:rPr>
        <w:t xml:space="preserve"> </w:t>
      </w:r>
      <w:r>
        <w:t>tabular</w:t>
      </w:r>
      <w:r>
        <w:rPr>
          <w:spacing w:val="-9"/>
        </w:rPr>
        <w:t xml:space="preserve"> </w:t>
      </w:r>
      <w:r>
        <w:t>form</w:t>
      </w:r>
      <w:r>
        <w:rPr>
          <w:spacing w:val="-8"/>
        </w:rPr>
        <w:t xml:space="preserve"> </w:t>
      </w:r>
      <w:r>
        <w:t>and</w:t>
      </w:r>
      <w:r>
        <w:rPr>
          <w:spacing w:val="-12"/>
        </w:rPr>
        <w:t xml:space="preserve"> </w:t>
      </w:r>
      <w:r>
        <w:t>graphical form as a table and box and whisker plot,</w:t>
      </w:r>
      <w:r>
        <w:rPr>
          <w:spacing w:val="-17"/>
        </w:rPr>
        <w:t xml:space="preserve"> </w:t>
      </w:r>
      <w:r>
        <w:t>respectively.</w:t>
      </w:r>
    </w:p>
    <w:p w:rsidR="00094A60" w:rsidRDefault="000C5E77">
      <w:pPr>
        <w:pStyle w:val="Heading1"/>
        <w:numPr>
          <w:ilvl w:val="1"/>
          <w:numId w:val="2"/>
        </w:numPr>
        <w:tabs>
          <w:tab w:val="left" w:pos="1200"/>
        </w:tabs>
        <w:spacing w:before="161"/>
        <w:ind w:left="1199" w:hanging="359"/>
        <w:jc w:val="left"/>
      </w:pPr>
      <w:bookmarkStart w:id="7" w:name="_TOC_250011"/>
      <w:r>
        <w:t>Market</w:t>
      </w:r>
      <w:r>
        <w:rPr>
          <w:spacing w:val="-5"/>
        </w:rPr>
        <w:t xml:space="preserve"> </w:t>
      </w:r>
      <w:bookmarkEnd w:id="7"/>
      <w:r>
        <w:t>Assessment</w:t>
      </w:r>
    </w:p>
    <w:p w:rsidR="00094A60" w:rsidRDefault="000C5E77">
      <w:pPr>
        <w:pStyle w:val="BodyText"/>
        <w:spacing w:before="178" w:line="256" w:lineRule="auto"/>
        <w:ind w:left="479" w:right="114"/>
        <w:jc w:val="both"/>
      </w:pPr>
      <w:r>
        <w:t>The academic market is difficult to model. At the start of a faculty member’s academic career, new faculty members may solicit multiple offers to either start their teaching careers or engage in</w:t>
      </w:r>
      <w:r>
        <w:rPr>
          <w:spacing w:val="-5"/>
        </w:rPr>
        <w:t xml:space="preserve"> </w:t>
      </w:r>
      <w:r>
        <w:t>post-doctoral</w:t>
      </w:r>
      <w:r>
        <w:rPr>
          <w:spacing w:val="-5"/>
        </w:rPr>
        <w:t xml:space="preserve"> </w:t>
      </w:r>
      <w:r>
        <w:t>research.</w:t>
      </w:r>
      <w:r>
        <w:rPr>
          <w:spacing w:val="-9"/>
        </w:rPr>
        <w:t xml:space="preserve"> </w:t>
      </w:r>
      <w:r>
        <w:t>At</w:t>
      </w:r>
      <w:r>
        <w:rPr>
          <w:spacing w:val="-4"/>
        </w:rPr>
        <w:t xml:space="preserve"> </w:t>
      </w:r>
      <w:r>
        <w:t>this</w:t>
      </w:r>
      <w:r>
        <w:rPr>
          <w:spacing w:val="-4"/>
        </w:rPr>
        <w:t xml:space="preserve"> </w:t>
      </w:r>
      <w:r>
        <w:t>point,</w:t>
      </w:r>
      <w:r>
        <w:rPr>
          <w:spacing w:val="-6"/>
        </w:rPr>
        <w:t xml:space="preserve"> </w:t>
      </w:r>
      <w:r>
        <w:t>the</w:t>
      </w:r>
      <w:r>
        <w:rPr>
          <w:spacing w:val="-6"/>
        </w:rPr>
        <w:t xml:space="preserve"> </w:t>
      </w:r>
      <w:r>
        <w:t>market</w:t>
      </w:r>
      <w:r>
        <w:rPr>
          <w:spacing w:val="-4"/>
        </w:rPr>
        <w:t xml:space="preserve"> </w:t>
      </w:r>
      <w:r>
        <w:t>for</w:t>
      </w:r>
      <w:r>
        <w:rPr>
          <w:spacing w:val="-4"/>
        </w:rPr>
        <w:t xml:space="preserve"> </w:t>
      </w:r>
      <w:r>
        <w:t>their</w:t>
      </w:r>
      <w:r>
        <w:rPr>
          <w:spacing w:val="-7"/>
        </w:rPr>
        <w:t xml:space="preserve"> </w:t>
      </w:r>
      <w:r>
        <w:t>talents</w:t>
      </w:r>
      <w:r>
        <w:rPr>
          <w:spacing w:val="-7"/>
        </w:rPr>
        <w:t xml:space="preserve"> </w:t>
      </w:r>
      <w:r>
        <w:t>is</w:t>
      </w:r>
      <w:r>
        <w:rPr>
          <w:spacing w:val="-4"/>
        </w:rPr>
        <w:t xml:space="preserve"> </w:t>
      </w:r>
      <w:r>
        <w:t>at</w:t>
      </w:r>
      <w:r>
        <w:rPr>
          <w:spacing w:val="-4"/>
        </w:rPr>
        <w:t xml:space="preserve"> </w:t>
      </w:r>
      <w:r>
        <w:t>its</w:t>
      </w:r>
      <w:r>
        <w:rPr>
          <w:spacing w:val="-7"/>
        </w:rPr>
        <w:t xml:space="preserve"> </w:t>
      </w:r>
      <w:r>
        <w:t>most</w:t>
      </w:r>
      <w:r>
        <w:rPr>
          <w:spacing w:val="-6"/>
        </w:rPr>
        <w:t xml:space="preserve"> </w:t>
      </w:r>
      <w:r>
        <w:t>competitive.</w:t>
      </w:r>
      <w:r>
        <w:rPr>
          <w:spacing w:val="-7"/>
        </w:rPr>
        <w:t xml:space="preserve"> </w:t>
      </w:r>
      <w:r>
        <w:t>For any institution to attract colleagues at the assistant professor rank, it must offer a compensation package (salary, fringe benefits, working conditions, and expectations of success in the chosen field)</w:t>
      </w:r>
      <w:r>
        <w:rPr>
          <w:spacing w:val="-11"/>
        </w:rPr>
        <w:t xml:space="preserve"> </w:t>
      </w:r>
      <w:r>
        <w:t>sufficient</w:t>
      </w:r>
      <w:r>
        <w:rPr>
          <w:spacing w:val="-13"/>
        </w:rPr>
        <w:t xml:space="preserve"> </w:t>
      </w:r>
      <w:r>
        <w:t>to</w:t>
      </w:r>
      <w:r>
        <w:rPr>
          <w:spacing w:val="-13"/>
        </w:rPr>
        <w:t xml:space="preserve"> </w:t>
      </w:r>
      <w:r>
        <w:t>attract</w:t>
      </w:r>
      <w:r>
        <w:rPr>
          <w:spacing w:val="-11"/>
        </w:rPr>
        <w:t xml:space="preserve"> </w:t>
      </w:r>
      <w:r>
        <w:t>the</w:t>
      </w:r>
      <w:r>
        <w:rPr>
          <w:spacing w:val="-11"/>
        </w:rPr>
        <w:t xml:space="preserve"> </w:t>
      </w:r>
      <w:r>
        <w:t>attention</w:t>
      </w:r>
      <w:r>
        <w:rPr>
          <w:spacing w:val="-15"/>
        </w:rPr>
        <w:t xml:space="preserve"> </w:t>
      </w:r>
      <w:r>
        <w:t>of</w:t>
      </w:r>
      <w:r>
        <w:rPr>
          <w:spacing w:val="-12"/>
        </w:rPr>
        <w:t xml:space="preserve"> </w:t>
      </w:r>
      <w:r>
        <w:t>those</w:t>
      </w:r>
      <w:r>
        <w:rPr>
          <w:spacing w:val="-13"/>
        </w:rPr>
        <w:t xml:space="preserve"> </w:t>
      </w:r>
      <w:r>
        <w:t>seeking</w:t>
      </w:r>
      <w:r>
        <w:rPr>
          <w:spacing w:val="-12"/>
        </w:rPr>
        <w:t xml:space="preserve"> </w:t>
      </w:r>
      <w:r>
        <w:t>employment.</w:t>
      </w:r>
      <w:r>
        <w:rPr>
          <w:spacing w:val="-14"/>
        </w:rPr>
        <w:t xml:space="preserve"> </w:t>
      </w:r>
      <w:r>
        <w:t>Those</w:t>
      </w:r>
      <w:r>
        <w:rPr>
          <w:spacing w:val="-11"/>
        </w:rPr>
        <w:t xml:space="preserve"> </w:t>
      </w:r>
      <w:r>
        <w:t>institutions</w:t>
      </w:r>
      <w:r>
        <w:rPr>
          <w:spacing w:val="-11"/>
        </w:rPr>
        <w:t xml:space="preserve"> </w:t>
      </w:r>
      <w:r>
        <w:t>that</w:t>
      </w:r>
      <w:r>
        <w:rPr>
          <w:spacing w:val="-13"/>
        </w:rPr>
        <w:t xml:space="preserve"> </w:t>
      </w:r>
      <w:r>
        <w:t>offer the better packages will usually attract the better talent, all other things being equal. Therefore, the market wages that are observed at the assistant professor level are likely to be a reasonable representation</w:t>
      </w:r>
      <w:r>
        <w:rPr>
          <w:spacing w:val="-12"/>
        </w:rPr>
        <w:t xml:space="preserve"> </w:t>
      </w:r>
      <w:r>
        <w:t>of</w:t>
      </w:r>
      <w:r>
        <w:rPr>
          <w:spacing w:val="-9"/>
        </w:rPr>
        <w:t xml:space="preserve"> </w:t>
      </w:r>
      <w:r>
        <w:t>the</w:t>
      </w:r>
      <w:r>
        <w:rPr>
          <w:spacing w:val="-8"/>
        </w:rPr>
        <w:t xml:space="preserve"> </w:t>
      </w:r>
      <w:r>
        <w:t>value</w:t>
      </w:r>
      <w:r>
        <w:rPr>
          <w:spacing w:val="-11"/>
        </w:rPr>
        <w:t xml:space="preserve"> </w:t>
      </w:r>
      <w:r>
        <w:t>of</w:t>
      </w:r>
      <w:r>
        <w:rPr>
          <w:spacing w:val="-9"/>
        </w:rPr>
        <w:t xml:space="preserve"> </w:t>
      </w:r>
      <w:r>
        <w:t>the</w:t>
      </w:r>
      <w:r>
        <w:rPr>
          <w:spacing w:val="-8"/>
        </w:rPr>
        <w:t xml:space="preserve"> </w:t>
      </w:r>
      <w:r>
        <w:t>talents</w:t>
      </w:r>
      <w:r>
        <w:rPr>
          <w:spacing w:val="-9"/>
        </w:rPr>
        <w:t xml:space="preserve"> </w:t>
      </w:r>
      <w:r>
        <w:t>a</w:t>
      </w:r>
      <w:r>
        <w:rPr>
          <w:spacing w:val="-9"/>
        </w:rPr>
        <w:t xml:space="preserve"> </w:t>
      </w:r>
      <w:r>
        <w:t>candidate</w:t>
      </w:r>
      <w:r>
        <w:rPr>
          <w:spacing w:val="-11"/>
        </w:rPr>
        <w:t xml:space="preserve"> </w:t>
      </w:r>
      <w:r>
        <w:t>brings</w:t>
      </w:r>
      <w:r>
        <w:rPr>
          <w:spacing w:val="-9"/>
        </w:rPr>
        <w:t xml:space="preserve"> </w:t>
      </w:r>
      <w:r>
        <w:t>to</w:t>
      </w:r>
      <w:r>
        <w:rPr>
          <w:spacing w:val="-8"/>
        </w:rPr>
        <w:t xml:space="preserve"> </w:t>
      </w:r>
      <w:r>
        <w:t>an</w:t>
      </w:r>
      <w:r>
        <w:rPr>
          <w:spacing w:val="-10"/>
        </w:rPr>
        <w:t xml:space="preserve"> </w:t>
      </w:r>
      <w:r>
        <w:t>institution.</w:t>
      </w:r>
      <w:r>
        <w:rPr>
          <w:spacing w:val="-10"/>
        </w:rPr>
        <w:t xml:space="preserve"> </w:t>
      </w:r>
      <w:r>
        <w:t>As</w:t>
      </w:r>
      <w:r>
        <w:rPr>
          <w:spacing w:val="-9"/>
        </w:rPr>
        <w:t xml:space="preserve"> </w:t>
      </w:r>
      <w:r>
        <w:t>faculty</w:t>
      </w:r>
      <w:r>
        <w:rPr>
          <w:spacing w:val="-8"/>
        </w:rPr>
        <w:t xml:space="preserve"> </w:t>
      </w:r>
      <w:r>
        <w:t>members</w:t>
      </w:r>
    </w:p>
    <w:p w:rsidR="00094A60" w:rsidRDefault="00094A60">
      <w:pPr>
        <w:spacing w:line="256" w:lineRule="auto"/>
        <w:jc w:val="both"/>
        <w:sectPr w:rsidR="00094A60">
          <w:pgSz w:w="12240" w:h="15840"/>
          <w:pgMar w:top="1400" w:right="1320" w:bottom="1200" w:left="1680" w:header="0" w:footer="1017" w:gutter="0"/>
          <w:cols w:space="720"/>
        </w:sectPr>
      </w:pPr>
    </w:p>
    <w:p w:rsidR="00094A60" w:rsidRDefault="000C5E77">
      <w:pPr>
        <w:pStyle w:val="BodyText"/>
        <w:spacing w:before="39" w:line="256" w:lineRule="auto"/>
        <w:ind w:left="840" w:right="115" w:hanging="1"/>
        <w:jc w:val="both"/>
      </w:pPr>
      <w:r>
        <w:lastRenderedPageBreak/>
        <w:t>progress in their careers, are tenured, and promoted, the market for their skills decreases considerably. Tenure represents job security in academe and is highly valued by faculty. Once a faculty member earns tenure, that person becomes less mobile and more connected to the institution.</w:t>
      </w:r>
    </w:p>
    <w:p w:rsidR="00094A60" w:rsidRDefault="000C5E77">
      <w:pPr>
        <w:pStyle w:val="BodyText"/>
        <w:spacing w:before="159" w:line="256" w:lineRule="auto"/>
        <w:ind w:left="840" w:right="113"/>
        <w:jc w:val="both"/>
      </w:pPr>
      <w:r>
        <w:t>Colleges and universities are hesitant to hire tenured associate and full professors outside of administrative ranks (department chair, dean, provost, etc.). One exception is the truly extraordinary researcher who can promote the mission of the institution from their research interests.</w:t>
      </w:r>
      <w:r>
        <w:rPr>
          <w:spacing w:val="-7"/>
        </w:rPr>
        <w:t xml:space="preserve"> </w:t>
      </w:r>
      <w:r>
        <w:t>As</w:t>
      </w:r>
      <w:r>
        <w:rPr>
          <w:spacing w:val="-6"/>
        </w:rPr>
        <w:t xml:space="preserve"> </w:t>
      </w:r>
      <w:r>
        <w:t>a</w:t>
      </w:r>
      <w:r>
        <w:rPr>
          <w:spacing w:val="-7"/>
        </w:rPr>
        <w:t xml:space="preserve"> </w:t>
      </w:r>
      <w:r>
        <w:t>result</w:t>
      </w:r>
      <w:r>
        <w:rPr>
          <w:spacing w:val="-6"/>
        </w:rPr>
        <w:t xml:space="preserve"> </w:t>
      </w:r>
      <w:r>
        <w:t>of</w:t>
      </w:r>
      <w:r>
        <w:rPr>
          <w:spacing w:val="-8"/>
        </w:rPr>
        <w:t xml:space="preserve"> </w:t>
      </w:r>
      <w:r>
        <w:t>the</w:t>
      </w:r>
      <w:r>
        <w:rPr>
          <w:spacing w:val="-7"/>
        </w:rPr>
        <w:t xml:space="preserve"> </w:t>
      </w:r>
      <w:r>
        <w:t>decreased</w:t>
      </w:r>
      <w:r>
        <w:rPr>
          <w:spacing w:val="-7"/>
        </w:rPr>
        <w:t xml:space="preserve"> </w:t>
      </w:r>
      <w:r>
        <w:t>mobility</w:t>
      </w:r>
      <w:r>
        <w:rPr>
          <w:spacing w:val="-7"/>
        </w:rPr>
        <w:t xml:space="preserve"> </w:t>
      </w:r>
      <w:r>
        <w:t>of</w:t>
      </w:r>
      <w:r>
        <w:rPr>
          <w:spacing w:val="-8"/>
        </w:rPr>
        <w:t xml:space="preserve"> </w:t>
      </w:r>
      <w:r>
        <w:t>senior</w:t>
      </w:r>
      <w:r>
        <w:rPr>
          <w:spacing w:val="-7"/>
        </w:rPr>
        <w:t xml:space="preserve"> </w:t>
      </w:r>
      <w:r>
        <w:t>faculty,</w:t>
      </w:r>
      <w:r>
        <w:rPr>
          <w:spacing w:val="-6"/>
        </w:rPr>
        <w:t xml:space="preserve"> </w:t>
      </w:r>
      <w:r>
        <w:t>it</w:t>
      </w:r>
      <w:r>
        <w:rPr>
          <w:spacing w:val="-6"/>
        </w:rPr>
        <w:t xml:space="preserve"> </w:t>
      </w:r>
      <w:r>
        <w:t>is</w:t>
      </w:r>
      <w:r>
        <w:rPr>
          <w:spacing w:val="-8"/>
        </w:rPr>
        <w:t xml:space="preserve"> </w:t>
      </w:r>
      <w:r>
        <w:t>much</w:t>
      </w:r>
      <w:r>
        <w:rPr>
          <w:spacing w:val="-9"/>
        </w:rPr>
        <w:t xml:space="preserve"> </w:t>
      </w:r>
      <w:r>
        <w:t>more</w:t>
      </w:r>
      <w:r>
        <w:rPr>
          <w:spacing w:val="-6"/>
        </w:rPr>
        <w:t xml:space="preserve"> </w:t>
      </w:r>
      <w:r>
        <w:t>difficult</w:t>
      </w:r>
      <w:r>
        <w:rPr>
          <w:spacing w:val="-6"/>
        </w:rPr>
        <w:t xml:space="preserve"> </w:t>
      </w:r>
      <w:r>
        <w:t>to</w:t>
      </w:r>
      <w:r>
        <w:rPr>
          <w:spacing w:val="-7"/>
        </w:rPr>
        <w:t xml:space="preserve"> </w:t>
      </w:r>
      <w:r>
        <w:t>assess the general market for such positions. Different institutional philosophies determine what was observed when examining their salaries as part of the comparison group. The Task Force could not</w:t>
      </w:r>
      <w:r>
        <w:rPr>
          <w:spacing w:val="-13"/>
        </w:rPr>
        <w:t xml:space="preserve"> </w:t>
      </w:r>
      <w:r>
        <w:t>know</w:t>
      </w:r>
      <w:r>
        <w:rPr>
          <w:spacing w:val="-13"/>
        </w:rPr>
        <w:t xml:space="preserve"> </w:t>
      </w:r>
      <w:r>
        <w:t>what</w:t>
      </w:r>
      <w:r>
        <w:rPr>
          <w:spacing w:val="-13"/>
        </w:rPr>
        <w:t xml:space="preserve"> </w:t>
      </w:r>
      <w:r>
        <w:t>those</w:t>
      </w:r>
      <w:r>
        <w:rPr>
          <w:spacing w:val="-13"/>
        </w:rPr>
        <w:t xml:space="preserve"> </w:t>
      </w:r>
      <w:r>
        <w:t>philosophies</w:t>
      </w:r>
      <w:r>
        <w:rPr>
          <w:spacing w:val="-13"/>
        </w:rPr>
        <w:t xml:space="preserve"> </w:t>
      </w:r>
      <w:r>
        <w:t>were,</w:t>
      </w:r>
      <w:r>
        <w:rPr>
          <w:spacing w:val="-13"/>
        </w:rPr>
        <w:t xml:space="preserve"> </w:t>
      </w:r>
      <w:r>
        <w:t>but</w:t>
      </w:r>
      <w:r>
        <w:rPr>
          <w:spacing w:val="-11"/>
        </w:rPr>
        <w:t xml:space="preserve"> </w:t>
      </w:r>
      <w:r>
        <w:t>in</w:t>
      </w:r>
      <w:r>
        <w:rPr>
          <w:spacing w:val="-14"/>
        </w:rPr>
        <w:t xml:space="preserve"> </w:t>
      </w:r>
      <w:r>
        <w:t>aggregate,</w:t>
      </w:r>
      <w:r>
        <w:rPr>
          <w:spacing w:val="-13"/>
        </w:rPr>
        <w:t xml:space="preserve"> </w:t>
      </w:r>
      <w:r>
        <w:t>they</w:t>
      </w:r>
      <w:r>
        <w:rPr>
          <w:spacing w:val="-13"/>
        </w:rPr>
        <w:t xml:space="preserve"> </w:t>
      </w:r>
      <w:r>
        <w:t>were</w:t>
      </w:r>
      <w:r>
        <w:rPr>
          <w:spacing w:val="-13"/>
        </w:rPr>
        <w:t xml:space="preserve"> </w:t>
      </w:r>
      <w:r>
        <w:t>thought</w:t>
      </w:r>
      <w:r>
        <w:rPr>
          <w:spacing w:val="-13"/>
        </w:rPr>
        <w:t xml:space="preserve"> </w:t>
      </w:r>
      <w:r>
        <w:t>of</w:t>
      </w:r>
      <w:r>
        <w:rPr>
          <w:spacing w:val="-13"/>
        </w:rPr>
        <w:t xml:space="preserve"> </w:t>
      </w:r>
      <w:r>
        <w:t>as</w:t>
      </w:r>
      <w:r>
        <w:rPr>
          <w:spacing w:val="-15"/>
        </w:rPr>
        <w:t xml:space="preserve"> </w:t>
      </w:r>
      <w:r>
        <w:t>“the</w:t>
      </w:r>
      <w:r>
        <w:rPr>
          <w:spacing w:val="-13"/>
        </w:rPr>
        <w:t xml:space="preserve"> </w:t>
      </w:r>
      <w:r>
        <w:t>consensus view”</w:t>
      </w:r>
      <w:r>
        <w:rPr>
          <w:spacing w:val="-10"/>
        </w:rPr>
        <w:t xml:space="preserve"> </w:t>
      </w:r>
      <w:r>
        <w:t>of</w:t>
      </w:r>
      <w:r>
        <w:rPr>
          <w:spacing w:val="-12"/>
        </w:rPr>
        <w:t xml:space="preserve"> </w:t>
      </w:r>
      <w:r>
        <w:t>the</w:t>
      </w:r>
      <w:r>
        <w:rPr>
          <w:spacing w:val="-11"/>
        </w:rPr>
        <w:t xml:space="preserve"> </w:t>
      </w:r>
      <w:r>
        <w:t>value</w:t>
      </w:r>
      <w:r>
        <w:rPr>
          <w:spacing w:val="-11"/>
        </w:rPr>
        <w:t xml:space="preserve"> </w:t>
      </w:r>
      <w:r>
        <w:t>of</w:t>
      </w:r>
      <w:r>
        <w:rPr>
          <w:spacing w:val="-12"/>
        </w:rPr>
        <w:t xml:space="preserve"> </w:t>
      </w:r>
      <w:r>
        <w:t>different</w:t>
      </w:r>
      <w:r>
        <w:rPr>
          <w:spacing w:val="-9"/>
        </w:rPr>
        <w:t xml:space="preserve"> </w:t>
      </w:r>
      <w:r>
        <w:t>positions</w:t>
      </w:r>
      <w:r>
        <w:rPr>
          <w:spacing w:val="-11"/>
        </w:rPr>
        <w:t xml:space="preserve"> </w:t>
      </w:r>
      <w:r>
        <w:t>at</w:t>
      </w:r>
      <w:r>
        <w:rPr>
          <w:spacing w:val="-11"/>
        </w:rPr>
        <w:t xml:space="preserve"> </w:t>
      </w:r>
      <w:r>
        <w:t>associate</w:t>
      </w:r>
      <w:r>
        <w:rPr>
          <w:spacing w:val="-8"/>
        </w:rPr>
        <w:t xml:space="preserve"> </w:t>
      </w:r>
      <w:r>
        <w:t>and</w:t>
      </w:r>
      <w:r>
        <w:rPr>
          <w:spacing w:val="-10"/>
        </w:rPr>
        <w:t xml:space="preserve"> </w:t>
      </w:r>
      <w:r>
        <w:t>full</w:t>
      </w:r>
      <w:r>
        <w:rPr>
          <w:spacing w:val="-9"/>
        </w:rPr>
        <w:t xml:space="preserve"> </w:t>
      </w:r>
      <w:r>
        <w:t>professor</w:t>
      </w:r>
      <w:r>
        <w:rPr>
          <w:spacing w:val="-12"/>
        </w:rPr>
        <w:t xml:space="preserve"> </w:t>
      </w:r>
      <w:r>
        <w:t>levels.</w:t>
      </w:r>
      <w:r>
        <w:rPr>
          <w:spacing w:val="-9"/>
        </w:rPr>
        <w:t xml:space="preserve"> </w:t>
      </w:r>
      <w:r>
        <w:t>Consequently,</w:t>
      </w:r>
      <w:r>
        <w:rPr>
          <w:spacing w:val="-11"/>
        </w:rPr>
        <w:t xml:space="preserve"> </w:t>
      </w:r>
      <w:r>
        <w:t>there was</w:t>
      </w:r>
      <w:r>
        <w:rPr>
          <w:spacing w:val="-9"/>
        </w:rPr>
        <w:t xml:space="preserve"> </w:t>
      </w:r>
      <w:r>
        <w:t>value</w:t>
      </w:r>
      <w:r>
        <w:rPr>
          <w:spacing w:val="-8"/>
        </w:rPr>
        <w:t xml:space="preserve"> </w:t>
      </w:r>
      <w:r>
        <w:t>in</w:t>
      </w:r>
      <w:r>
        <w:rPr>
          <w:spacing w:val="-10"/>
        </w:rPr>
        <w:t xml:space="preserve"> </w:t>
      </w:r>
      <w:r>
        <w:t>knowing</w:t>
      </w:r>
      <w:r>
        <w:rPr>
          <w:spacing w:val="-7"/>
        </w:rPr>
        <w:t xml:space="preserve"> </w:t>
      </w:r>
      <w:r>
        <w:t>and</w:t>
      </w:r>
      <w:r>
        <w:rPr>
          <w:spacing w:val="-7"/>
        </w:rPr>
        <w:t xml:space="preserve"> </w:t>
      </w:r>
      <w:r>
        <w:t>attempting</w:t>
      </w:r>
      <w:r>
        <w:rPr>
          <w:spacing w:val="-7"/>
        </w:rPr>
        <w:t xml:space="preserve"> </w:t>
      </w:r>
      <w:r>
        <w:t>to</w:t>
      </w:r>
      <w:r>
        <w:rPr>
          <w:spacing w:val="-8"/>
        </w:rPr>
        <w:t xml:space="preserve"> </w:t>
      </w:r>
      <w:r>
        <w:t>align</w:t>
      </w:r>
      <w:r>
        <w:rPr>
          <w:spacing w:val="-7"/>
        </w:rPr>
        <w:t xml:space="preserve"> </w:t>
      </w:r>
      <w:r>
        <w:t>the</w:t>
      </w:r>
      <w:r>
        <w:rPr>
          <w:spacing w:val="-6"/>
        </w:rPr>
        <w:t xml:space="preserve"> </w:t>
      </w:r>
      <w:r>
        <w:t>salaries</w:t>
      </w:r>
      <w:r>
        <w:rPr>
          <w:spacing w:val="-9"/>
        </w:rPr>
        <w:t xml:space="preserve"> </w:t>
      </w:r>
      <w:r>
        <w:t>of</w:t>
      </w:r>
      <w:r>
        <w:rPr>
          <w:spacing w:val="-9"/>
        </w:rPr>
        <w:t xml:space="preserve"> </w:t>
      </w:r>
      <w:r>
        <w:t>all</w:t>
      </w:r>
      <w:r>
        <w:rPr>
          <w:spacing w:val="-7"/>
        </w:rPr>
        <w:t xml:space="preserve"> </w:t>
      </w:r>
      <w:r>
        <w:t>ranks</w:t>
      </w:r>
      <w:r>
        <w:rPr>
          <w:spacing w:val="-9"/>
        </w:rPr>
        <w:t xml:space="preserve"> </w:t>
      </w:r>
      <w:r>
        <w:t>of</w:t>
      </w:r>
      <w:r>
        <w:rPr>
          <w:spacing w:val="-9"/>
        </w:rPr>
        <w:t xml:space="preserve"> </w:t>
      </w:r>
      <w:r>
        <w:t>faculty</w:t>
      </w:r>
      <w:r>
        <w:rPr>
          <w:spacing w:val="-8"/>
        </w:rPr>
        <w:t xml:space="preserve"> </w:t>
      </w:r>
      <w:r>
        <w:t>with</w:t>
      </w:r>
      <w:r>
        <w:rPr>
          <w:spacing w:val="-7"/>
        </w:rPr>
        <w:t xml:space="preserve"> </w:t>
      </w:r>
      <w:r>
        <w:t>those</w:t>
      </w:r>
      <w:r>
        <w:rPr>
          <w:spacing w:val="-8"/>
        </w:rPr>
        <w:t xml:space="preserve"> </w:t>
      </w:r>
      <w:r>
        <w:t>offered at other comparable</w:t>
      </w:r>
      <w:r>
        <w:rPr>
          <w:spacing w:val="-13"/>
        </w:rPr>
        <w:t xml:space="preserve"> </w:t>
      </w:r>
      <w:r>
        <w:t>institutions.</w:t>
      </w:r>
    </w:p>
    <w:p w:rsidR="00094A60" w:rsidRDefault="000C5E77">
      <w:pPr>
        <w:pStyle w:val="BodyText"/>
        <w:spacing w:before="159" w:line="256" w:lineRule="auto"/>
        <w:ind w:left="840" w:right="113"/>
        <w:jc w:val="both"/>
      </w:pPr>
      <w:r>
        <w:t>Any institutions that finds its salaries lagging significantly behind other salaries runs the risk of having the faculty “lose heart”. This can be particularly problematic if an institution espouses a special mission that requires all faculty to support (as opposed to an institution that generalizes in marching students toward graduation without any particular interest in their development as individuals).</w:t>
      </w:r>
    </w:p>
    <w:p w:rsidR="00094A60" w:rsidRDefault="000C5E77">
      <w:pPr>
        <w:pStyle w:val="BodyText"/>
        <w:spacing w:before="159" w:line="256" w:lineRule="auto"/>
        <w:ind w:left="840" w:right="113"/>
        <w:jc w:val="both"/>
      </w:pPr>
      <w:r>
        <w:t>In comparing faculty salaries among Georgia College and other institutions, the Task Force assumed that the salaries across comparison schools at the assistant professor level were “market” observations as closely as the term can be applied to the academic labor market. For senior (associate and full professor) levels, comparison data were viewed as the benchmark for the normal salaries expected at that rank.</w:t>
      </w:r>
    </w:p>
    <w:p w:rsidR="00094A60" w:rsidRDefault="000C5E77">
      <w:pPr>
        <w:pStyle w:val="Heading1"/>
        <w:numPr>
          <w:ilvl w:val="1"/>
          <w:numId w:val="2"/>
        </w:numPr>
        <w:tabs>
          <w:tab w:val="left" w:pos="1561"/>
        </w:tabs>
        <w:spacing w:before="159"/>
        <w:ind w:left="1560" w:hanging="360"/>
        <w:jc w:val="left"/>
      </w:pPr>
      <w:bookmarkStart w:id="8" w:name="_TOC_250010"/>
      <w:r>
        <w:t>Data Collection and</w:t>
      </w:r>
      <w:r>
        <w:rPr>
          <w:spacing w:val="-11"/>
        </w:rPr>
        <w:t xml:space="preserve"> </w:t>
      </w:r>
      <w:bookmarkEnd w:id="8"/>
      <w:r>
        <w:t>Methodology</w:t>
      </w:r>
    </w:p>
    <w:p w:rsidR="00094A60" w:rsidRDefault="000C5E77">
      <w:pPr>
        <w:pStyle w:val="BodyText"/>
        <w:spacing w:before="178" w:line="254" w:lineRule="auto"/>
        <w:ind w:left="839" w:right="360"/>
      </w:pPr>
      <w:r>
        <w:t>In this study, the Task Force ultimately chose to use the data submitted by CUPA-HR from 282 colleges and universities from across the U.S. wherever possible.</w:t>
      </w:r>
      <w:hyperlink w:anchor="_bookmark0" w:history="1">
        <w:r>
          <w:rPr>
            <w:position w:val="8"/>
            <w:sz w:val="14"/>
          </w:rPr>
          <w:t>1</w:t>
        </w:r>
      </w:hyperlink>
      <w:r>
        <w:rPr>
          <w:position w:val="8"/>
          <w:sz w:val="14"/>
        </w:rPr>
        <w:t xml:space="preserve"> </w:t>
      </w:r>
      <w:r>
        <w:t>These institutions include Georgia College comparator and aspirant institutions as well as the Master’s institutions.</w:t>
      </w:r>
    </w:p>
    <w:p w:rsidR="00094A60" w:rsidRDefault="00094A60">
      <w:pPr>
        <w:pStyle w:val="BodyText"/>
      </w:pPr>
    </w:p>
    <w:p w:rsidR="00094A60" w:rsidRDefault="000C5E77">
      <w:pPr>
        <w:pStyle w:val="ListParagraph"/>
        <w:numPr>
          <w:ilvl w:val="2"/>
          <w:numId w:val="2"/>
        </w:numPr>
        <w:tabs>
          <w:tab w:val="left" w:pos="1920"/>
        </w:tabs>
        <w:spacing w:before="178" w:line="256" w:lineRule="auto"/>
        <w:ind w:right="113"/>
        <w:jc w:val="both"/>
      </w:pPr>
      <w:r>
        <w:t>CUPA-HR: The Task Force chose to use data collected by a professional data aggregator,</w:t>
      </w:r>
      <w:r>
        <w:rPr>
          <w:spacing w:val="-7"/>
        </w:rPr>
        <w:t xml:space="preserve"> </w:t>
      </w:r>
      <w:r>
        <w:t>as</w:t>
      </w:r>
      <w:r>
        <w:rPr>
          <w:spacing w:val="-7"/>
        </w:rPr>
        <w:t xml:space="preserve"> </w:t>
      </w:r>
      <w:r>
        <w:t>time</w:t>
      </w:r>
      <w:r>
        <w:rPr>
          <w:spacing w:val="-4"/>
        </w:rPr>
        <w:t xml:space="preserve"> </w:t>
      </w:r>
      <w:r>
        <w:t>constraints</w:t>
      </w:r>
      <w:r>
        <w:rPr>
          <w:spacing w:val="-4"/>
        </w:rPr>
        <w:t xml:space="preserve"> </w:t>
      </w:r>
      <w:r>
        <w:t>and</w:t>
      </w:r>
      <w:r>
        <w:rPr>
          <w:spacing w:val="-5"/>
        </w:rPr>
        <w:t xml:space="preserve"> </w:t>
      </w:r>
      <w:r>
        <w:t>the</w:t>
      </w:r>
      <w:r>
        <w:rPr>
          <w:spacing w:val="-6"/>
        </w:rPr>
        <w:t xml:space="preserve"> </w:t>
      </w:r>
      <w:r>
        <w:t>ability</w:t>
      </w:r>
      <w:r>
        <w:rPr>
          <w:spacing w:val="-6"/>
        </w:rPr>
        <w:t xml:space="preserve"> </w:t>
      </w:r>
      <w:r>
        <w:t>to</w:t>
      </w:r>
      <w:r>
        <w:rPr>
          <w:spacing w:val="-3"/>
        </w:rPr>
        <w:t xml:space="preserve"> </w:t>
      </w:r>
      <w:r>
        <w:t>convince</w:t>
      </w:r>
      <w:r>
        <w:rPr>
          <w:spacing w:val="-6"/>
        </w:rPr>
        <w:t xml:space="preserve"> </w:t>
      </w:r>
      <w:r>
        <w:t>other</w:t>
      </w:r>
      <w:r>
        <w:rPr>
          <w:spacing w:val="-7"/>
        </w:rPr>
        <w:t xml:space="preserve"> </w:t>
      </w:r>
      <w:r>
        <w:t>schools</w:t>
      </w:r>
      <w:r>
        <w:rPr>
          <w:spacing w:val="-7"/>
        </w:rPr>
        <w:t xml:space="preserve"> </w:t>
      </w:r>
      <w:r>
        <w:t>to</w:t>
      </w:r>
      <w:r>
        <w:rPr>
          <w:spacing w:val="-8"/>
        </w:rPr>
        <w:t xml:space="preserve"> </w:t>
      </w:r>
      <w:r>
        <w:t>volunteer data for such a project was initially pursued and proved to be impractical. Schools that</w:t>
      </w:r>
      <w:r>
        <w:rPr>
          <w:spacing w:val="-9"/>
        </w:rPr>
        <w:t xml:space="preserve"> </w:t>
      </w:r>
      <w:r>
        <w:t>submit</w:t>
      </w:r>
      <w:r>
        <w:rPr>
          <w:spacing w:val="-11"/>
        </w:rPr>
        <w:t xml:space="preserve"> </w:t>
      </w:r>
      <w:r>
        <w:t>data</w:t>
      </w:r>
      <w:r>
        <w:rPr>
          <w:spacing w:val="-12"/>
        </w:rPr>
        <w:t xml:space="preserve"> </w:t>
      </w:r>
      <w:r>
        <w:t>to</w:t>
      </w:r>
      <w:r>
        <w:rPr>
          <w:spacing w:val="-10"/>
        </w:rPr>
        <w:t xml:space="preserve"> </w:t>
      </w:r>
      <w:r>
        <w:t>CUPA-HR</w:t>
      </w:r>
      <w:r>
        <w:rPr>
          <w:spacing w:val="-9"/>
        </w:rPr>
        <w:t xml:space="preserve"> </w:t>
      </w:r>
      <w:r>
        <w:t>generally</w:t>
      </w:r>
      <w:r>
        <w:rPr>
          <w:spacing w:val="-8"/>
        </w:rPr>
        <w:t xml:space="preserve"> </w:t>
      </w:r>
      <w:r>
        <w:t>have</w:t>
      </w:r>
      <w:r>
        <w:rPr>
          <w:spacing w:val="-11"/>
        </w:rPr>
        <w:t xml:space="preserve"> </w:t>
      </w:r>
      <w:r>
        <w:t>the</w:t>
      </w:r>
      <w:r>
        <w:rPr>
          <w:spacing w:val="-11"/>
        </w:rPr>
        <w:t xml:space="preserve"> </w:t>
      </w:r>
      <w:r>
        <w:t>same</w:t>
      </w:r>
      <w:r>
        <w:rPr>
          <w:spacing w:val="-13"/>
        </w:rPr>
        <w:t xml:space="preserve"> </w:t>
      </w:r>
      <w:r>
        <w:t>motivations</w:t>
      </w:r>
      <w:r>
        <w:rPr>
          <w:spacing w:val="-11"/>
        </w:rPr>
        <w:t xml:space="preserve"> </w:t>
      </w:r>
      <w:r>
        <w:t>and</w:t>
      </w:r>
      <w:r>
        <w:rPr>
          <w:spacing w:val="-12"/>
        </w:rPr>
        <w:t xml:space="preserve"> </w:t>
      </w:r>
      <w:r>
        <w:t>the</w:t>
      </w:r>
      <w:r>
        <w:rPr>
          <w:spacing w:val="-11"/>
        </w:rPr>
        <w:t xml:space="preserve"> </w:t>
      </w:r>
      <w:r>
        <w:t>Task</w:t>
      </w:r>
      <w:r>
        <w:rPr>
          <w:spacing w:val="-11"/>
        </w:rPr>
        <w:t xml:space="preserve"> </w:t>
      </w:r>
      <w:r>
        <w:t>Force believed that their data were as reliable as they could possibly be. Using CUPA-HR data provided the Task Force with ready access to uniform data that could be customized for our uses, which outweighed the cost of access to the</w:t>
      </w:r>
      <w:r>
        <w:rPr>
          <w:spacing w:val="-22"/>
        </w:rPr>
        <w:t xml:space="preserve"> </w:t>
      </w:r>
      <w:r>
        <w:t>data.</w:t>
      </w:r>
    </w:p>
    <w:p w:rsidR="00094A60" w:rsidRDefault="00094A60">
      <w:pPr>
        <w:pStyle w:val="BodyText"/>
        <w:rPr>
          <w:sz w:val="20"/>
        </w:rPr>
      </w:pPr>
    </w:p>
    <w:p w:rsidR="00094A60" w:rsidRDefault="00A23B27">
      <w:pPr>
        <w:pStyle w:val="BodyText"/>
        <w:spacing w:before="3"/>
        <w:rPr>
          <w:sz w:val="25"/>
        </w:rPr>
      </w:pPr>
      <w:r>
        <w:rPr>
          <w:noProof/>
        </w:rPr>
        <mc:AlternateContent>
          <mc:Choice Requires="wps">
            <w:drawing>
              <wp:anchor distT="0" distB="0" distL="0" distR="0" simplePos="0" relativeHeight="1048" behindDoc="0" locked="0" layoutInCell="1" allowOverlap="1">
                <wp:simplePos x="0" y="0"/>
                <wp:positionH relativeFrom="page">
                  <wp:posOffset>914400</wp:posOffset>
                </wp:positionH>
                <wp:positionV relativeFrom="paragraph">
                  <wp:posOffset>225425</wp:posOffset>
                </wp:positionV>
                <wp:extent cx="1828800" cy="0"/>
                <wp:effectExtent l="9525" t="8890" r="9525" b="1016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83E85"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5pt" to="3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Qt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" strokeweight=".72pt">
                <w10:wrap type="topAndBottom" anchorx="page"/>
              </v:line>
            </w:pict>
          </mc:Fallback>
        </mc:AlternateContent>
      </w:r>
    </w:p>
    <w:p w:rsidR="00094A60" w:rsidRDefault="000C5E77">
      <w:pPr>
        <w:spacing w:before="69"/>
        <w:ind w:left="120" w:right="117" w:hanging="1"/>
        <w:jc w:val="both"/>
        <w:rPr>
          <w:sz w:val="20"/>
        </w:rPr>
      </w:pPr>
      <w:bookmarkStart w:id="9" w:name="_bookmark0"/>
      <w:bookmarkEnd w:id="9"/>
      <w:r>
        <w:rPr>
          <w:position w:val="7"/>
          <w:sz w:val="13"/>
        </w:rPr>
        <w:t>1</w:t>
      </w:r>
      <w:r>
        <w:rPr>
          <w:spacing w:val="9"/>
          <w:position w:val="7"/>
          <w:sz w:val="13"/>
        </w:rPr>
        <w:t xml:space="preserve"> </w:t>
      </w:r>
      <w:r>
        <w:rPr>
          <w:sz w:val="20"/>
        </w:rPr>
        <w:t>In</w:t>
      </w:r>
      <w:r>
        <w:rPr>
          <w:spacing w:val="-5"/>
          <w:sz w:val="20"/>
        </w:rPr>
        <w:t xml:space="preserve"> </w:t>
      </w:r>
      <w:r>
        <w:rPr>
          <w:sz w:val="20"/>
        </w:rPr>
        <w:t>the</w:t>
      </w:r>
      <w:r>
        <w:rPr>
          <w:spacing w:val="-6"/>
          <w:sz w:val="20"/>
        </w:rPr>
        <w:t xml:space="preserve"> </w:t>
      </w:r>
      <w:r>
        <w:rPr>
          <w:sz w:val="20"/>
        </w:rPr>
        <w:t>rare</w:t>
      </w:r>
      <w:r>
        <w:rPr>
          <w:spacing w:val="-6"/>
          <w:sz w:val="20"/>
        </w:rPr>
        <w:t xml:space="preserve"> </w:t>
      </w:r>
      <w:r>
        <w:rPr>
          <w:sz w:val="20"/>
        </w:rPr>
        <w:t>instance</w:t>
      </w:r>
      <w:r>
        <w:rPr>
          <w:spacing w:val="-6"/>
          <w:sz w:val="20"/>
        </w:rPr>
        <w:t xml:space="preserve"> </w:t>
      </w:r>
      <w:r>
        <w:rPr>
          <w:sz w:val="20"/>
        </w:rPr>
        <w:t>where</w:t>
      </w:r>
      <w:r>
        <w:rPr>
          <w:spacing w:val="-6"/>
          <w:sz w:val="20"/>
        </w:rPr>
        <w:t xml:space="preserve"> </w:t>
      </w:r>
      <w:r>
        <w:rPr>
          <w:sz w:val="20"/>
        </w:rPr>
        <w:t>the</w:t>
      </w:r>
      <w:r>
        <w:rPr>
          <w:spacing w:val="-6"/>
          <w:sz w:val="20"/>
        </w:rPr>
        <w:t xml:space="preserve"> </w:t>
      </w:r>
      <w:r>
        <w:rPr>
          <w:sz w:val="20"/>
        </w:rPr>
        <w:t>data</w:t>
      </w:r>
      <w:r>
        <w:rPr>
          <w:spacing w:val="-5"/>
          <w:sz w:val="20"/>
        </w:rPr>
        <w:t xml:space="preserve"> </w:t>
      </w:r>
      <w:r>
        <w:rPr>
          <w:sz w:val="20"/>
        </w:rPr>
        <w:t>were</w:t>
      </w:r>
      <w:r>
        <w:rPr>
          <w:spacing w:val="-6"/>
          <w:sz w:val="20"/>
        </w:rPr>
        <w:t xml:space="preserve"> </w:t>
      </w:r>
      <w:r>
        <w:rPr>
          <w:sz w:val="20"/>
        </w:rPr>
        <w:t>insufficient</w:t>
      </w:r>
      <w:r>
        <w:rPr>
          <w:spacing w:val="-5"/>
          <w:sz w:val="20"/>
        </w:rPr>
        <w:t xml:space="preserve"> </w:t>
      </w:r>
      <w:r>
        <w:rPr>
          <w:sz w:val="20"/>
        </w:rPr>
        <w:t>to</w:t>
      </w:r>
      <w:r>
        <w:rPr>
          <w:spacing w:val="-5"/>
          <w:sz w:val="20"/>
        </w:rPr>
        <w:t xml:space="preserve"> </w:t>
      </w:r>
      <w:r>
        <w:rPr>
          <w:sz w:val="20"/>
        </w:rPr>
        <w:t>provide</w:t>
      </w:r>
      <w:r>
        <w:rPr>
          <w:spacing w:val="-6"/>
          <w:sz w:val="20"/>
        </w:rPr>
        <w:t xml:space="preserve"> </w:t>
      </w:r>
      <w:r>
        <w:rPr>
          <w:sz w:val="20"/>
        </w:rPr>
        <w:t>a</w:t>
      </w:r>
      <w:r>
        <w:rPr>
          <w:spacing w:val="-5"/>
          <w:sz w:val="20"/>
        </w:rPr>
        <w:t xml:space="preserve"> </w:t>
      </w:r>
      <w:r>
        <w:rPr>
          <w:sz w:val="20"/>
        </w:rPr>
        <w:t>full</w:t>
      </w:r>
      <w:r>
        <w:rPr>
          <w:spacing w:val="-6"/>
          <w:sz w:val="20"/>
        </w:rPr>
        <w:t xml:space="preserve"> </w:t>
      </w:r>
      <w:r>
        <w:rPr>
          <w:sz w:val="20"/>
        </w:rPr>
        <w:t>comparison</w:t>
      </w:r>
      <w:r>
        <w:rPr>
          <w:spacing w:val="-5"/>
          <w:sz w:val="20"/>
        </w:rPr>
        <w:t xml:space="preserve"> </w:t>
      </w:r>
      <w:r>
        <w:rPr>
          <w:sz w:val="20"/>
        </w:rPr>
        <w:t>of</w:t>
      </w:r>
      <w:r>
        <w:rPr>
          <w:spacing w:val="-6"/>
          <w:sz w:val="20"/>
        </w:rPr>
        <w:t xml:space="preserve"> </w:t>
      </w:r>
      <w:r>
        <w:rPr>
          <w:sz w:val="20"/>
        </w:rPr>
        <w:t>market</w:t>
      </w:r>
      <w:r>
        <w:rPr>
          <w:spacing w:val="-5"/>
          <w:sz w:val="20"/>
        </w:rPr>
        <w:t xml:space="preserve"> </w:t>
      </w:r>
      <w:r>
        <w:rPr>
          <w:sz w:val="20"/>
        </w:rPr>
        <w:t>salaries</w:t>
      </w:r>
      <w:r>
        <w:rPr>
          <w:spacing w:val="-7"/>
          <w:sz w:val="20"/>
        </w:rPr>
        <w:t xml:space="preserve"> </w:t>
      </w:r>
      <w:r>
        <w:rPr>
          <w:sz w:val="20"/>
        </w:rPr>
        <w:t>for</w:t>
      </w:r>
      <w:r>
        <w:rPr>
          <w:spacing w:val="-5"/>
          <w:sz w:val="20"/>
        </w:rPr>
        <w:t xml:space="preserve"> </w:t>
      </w:r>
      <w:r>
        <w:rPr>
          <w:sz w:val="20"/>
        </w:rPr>
        <w:t>a</w:t>
      </w:r>
      <w:r>
        <w:rPr>
          <w:spacing w:val="-5"/>
          <w:sz w:val="20"/>
        </w:rPr>
        <w:t xml:space="preserve"> </w:t>
      </w:r>
      <w:r>
        <w:rPr>
          <w:sz w:val="20"/>
        </w:rPr>
        <w:t>CIP</w:t>
      </w:r>
      <w:r>
        <w:rPr>
          <w:spacing w:val="-5"/>
          <w:sz w:val="20"/>
        </w:rPr>
        <w:t xml:space="preserve"> </w:t>
      </w:r>
      <w:r>
        <w:rPr>
          <w:sz w:val="20"/>
        </w:rPr>
        <w:t>code, we</w:t>
      </w:r>
      <w:r>
        <w:rPr>
          <w:spacing w:val="-10"/>
          <w:sz w:val="20"/>
        </w:rPr>
        <w:t xml:space="preserve"> </w:t>
      </w:r>
      <w:r>
        <w:rPr>
          <w:sz w:val="20"/>
        </w:rPr>
        <w:t>expanded</w:t>
      </w:r>
      <w:r>
        <w:rPr>
          <w:spacing w:val="-10"/>
          <w:sz w:val="20"/>
        </w:rPr>
        <w:t xml:space="preserve"> </w:t>
      </w:r>
      <w:r>
        <w:rPr>
          <w:sz w:val="20"/>
        </w:rPr>
        <w:t>our</w:t>
      </w:r>
      <w:r>
        <w:rPr>
          <w:spacing w:val="-11"/>
          <w:sz w:val="20"/>
        </w:rPr>
        <w:t xml:space="preserve"> </w:t>
      </w:r>
      <w:r>
        <w:rPr>
          <w:sz w:val="20"/>
        </w:rPr>
        <w:t>sample</w:t>
      </w:r>
      <w:r>
        <w:rPr>
          <w:spacing w:val="-12"/>
          <w:sz w:val="20"/>
        </w:rPr>
        <w:t xml:space="preserve"> </w:t>
      </w:r>
      <w:r>
        <w:rPr>
          <w:sz w:val="20"/>
        </w:rPr>
        <w:t>to</w:t>
      </w:r>
      <w:r>
        <w:rPr>
          <w:spacing w:val="-11"/>
          <w:sz w:val="20"/>
        </w:rPr>
        <w:t xml:space="preserve"> </w:t>
      </w:r>
      <w:r>
        <w:rPr>
          <w:sz w:val="20"/>
        </w:rPr>
        <w:t>include</w:t>
      </w:r>
      <w:r>
        <w:rPr>
          <w:spacing w:val="-12"/>
          <w:sz w:val="20"/>
        </w:rPr>
        <w:t xml:space="preserve"> </w:t>
      </w:r>
      <w:r>
        <w:rPr>
          <w:sz w:val="20"/>
        </w:rPr>
        <w:t>data</w:t>
      </w:r>
      <w:r>
        <w:rPr>
          <w:spacing w:val="-11"/>
          <w:sz w:val="20"/>
        </w:rPr>
        <w:t xml:space="preserve"> </w:t>
      </w:r>
      <w:r>
        <w:rPr>
          <w:sz w:val="20"/>
        </w:rPr>
        <w:t>from</w:t>
      </w:r>
      <w:r>
        <w:rPr>
          <w:spacing w:val="-10"/>
          <w:sz w:val="20"/>
        </w:rPr>
        <w:t xml:space="preserve"> </w:t>
      </w:r>
      <w:r>
        <w:rPr>
          <w:sz w:val="20"/>
        </w:rPr>
        <w:t>3,415</w:t>
      </w:r>
      <w:r>
        <w:rPr>
          <w:spacing w:val="-9"/>
          <w:sz w:val="20"/>
        </w:rPr>
        <w:t xml:space="preserve"> </w:t>
      </w:r>
      <w:r>
        <w:rPr>
          <w:sz w:val="20"/>
        </w:rPr>
        <w:t>institutions</w:t>
      </w:r>
      <w:r>
        <w:rPr>
          <w:spacing w:val="-12"/>
          <w:sz w:val="20"/>
        </w:rPr>
        <w:t xml:space="preserve"> </w:t>
      </w:r>
      <w:r>
        <w:rPr>
          <w:sz w:val="20"/>
        </w:rPr>
        <w:t>that</w:t>
      </w:r>
      <w:r>
        <w:rPr>
          <w:spacing w:val="-11"/>
          <w:sz w:val="20"/>
        </w:rPr>
        <w:t xml:space="preserve"> </w:t>
      </w:r>
      <w:r>
        <w:rPr>
          <w:sz w:val="20"/>
        </w:rPr>
        <w:t>ranged</w:t>
      </w:r>
      <w:r>
        <w:rPr>
          <w:spacing w:val="-10"/>
          <w:sz w:val="20"/>
        </w:rPr>
        <w:t xml:space="preserve"> </w:t>
      </w:r>
      <w:r>
        <w:rPr>
          <w:sz w:val="20"/>
        </w:rPr>
        <w:t>across</w:t>
      </w:r>
      <w:r>
        <w:rPr>
          <w:spacing w:val="-10"/>
          <w:sz w:val="20"/>
        </w:rPr>
        <w:t xml:space="preserve"> </w:t>
      </w:r>
      <w:r>
        <w:rPr>
          <w:sz w:val="20"/>
        </w:rPr>
        <w:t>multiple</w:t>
      </w:r>
      <w:r>
        <w:rPr>
          <w:spacing w:val="-12"/>
          <w:sz w:val="20"/>
        </w:rPr>
        <w:t xml:space="preserve"> </w:t>
      </w:r>
      <w:r>
        <w:rPr>
          <w:sz w:val="20"/>
        </w:rPr>
        <w:t>Carnegie</w:t>
      </w:r>
      <w:r>
        <w:rPr>
          <w:spacing w:val="-10"/>
          <w:sz w:val="20"/>
        </w:rPr>
        <w:t xml:space="preserve"> </w:t>
      </w:r>
      <w:r>
        <w:rPr>
          <w:sz w:val="20"/>
        </w:rPr>
        <w:t>classifications. Tables</w:t>
      </w:r>
      <w:r>
        <w:rPr>
          <w:spacing w:val="-6"/>
          <w:sz w:val="20"/>
        </w:rPr>
        <w:t xml:space="preserve"> </w:t>
      </w:r>
      <w:r>
        <w:rPr>
          <w:sz w:val="20"/>
        </w:rPr>
        <w:t>in</w:t>
      </w:r>
      <w:r>
        <w:rPr>
          <w:spacing w:val="-4"/>
          <w:sz w:val="20"/>
        </w:rPr>
        <w:t xml:space="preserve"> </w:t>
      </w:r>
      <w:r>
        <w:rPr>
          <w:sz w:val="20"/>
        </w:rPr>
        <w:t>Appendix</w:t>
      </w:r>
      <w:r>
        <w:rPr>
          <w:spacing w:val="-5"/>
          <w:sz w:val="20"/>
        </w:rPr>
        <w:t xml:space="preserve"> </w:t>
      </w:r>
      <w:r>
        <w:rPr>
          <w:sz w:val="20"/>
        </w:rPr>
        <w:t>iii</w:t>
      </w:r>
      <w:r>
        <w:rPr>
          <w:spacing w:val="-5"/>
          <w:sz w:val="20"/>
        </w:rPr>
        <w:t xml:space="preserve"> </w:t>
      </w:r>
      <w:r>
        <w:rPr>
          <w:sz w:val="20"/>
        </w:rPr>
        <w:t>indicate</w:t>
      </w:r>
      <w:r>
        <w:rPr>
          <w:spacing w:val="-6"/>
          <w:sz w:val="20"/>
        </w:rPr>
        <w:t xml:space="preserve"> </w:t>
      </w:r>
      <w:r>
        <w:rPr>
          <w:sz w:val="20"/>
        </w:rPr>
        <w:t>where</w:t>
      </w:r>
      <w:r>
        <w:rPr>
          <w:spacing w:val="-3"/>
          <w:sz w:val="20"/>
        </w:rPr>
        <w:t xml:space="preserve"> </w:t>
      </w:r>
      <w:r>
        <w:rPr>
          <w:sz w:val="20"/>
        </w:rPr>
        <w:t>such</w:t>
      </w:r>
      <w:r>
        <w:rPr>
          <w:spacing w:val="-4"/>
          <w:sz w:val="20"/>
        </w:rPr>
        <w:t xml:space="preserve"> </w:t>
      </w:r>
      <w:r>
        <w:rPr>
          <w:sz w:val="20"/>
        </w:rPr>
        <w:t>an</w:t>
      </w:r>
      <w:r>
        <w:rPr>
          <w:spacing w:val="-4"/>
          <w:sz w:val="20"/>
        </w:rPr>
        <w:t xml:space="preserve"> </w:t>
      </w:r>
      <w:r>
        <w:rPr>
          <w:sz w:val="20"/>
        </w:rPr>
        <w:t>expansion</w:t>
      </w:r>
      <w:r>
        <w:rPr>
          <w:spacing w:val="-4"/>
          <w:sz w:val="20"/>
        </w:rPr>
        <w:t xml:space="preserve"> </w:t>
      </w:r>
      <w:r>
        <w:rPr>
          <w:sz w:val="20"/>
        </w:rPr>
        <w:t>was</w:t>
      </w:r>
      <w:r>
        <w:rPr>
          <w:spacing w:val="-4"/>
          <w:sz w:val="20"/>
        </w:rPr>
        <w:t xml:space="preserve"> </w:t>
      </w:r>
      <w:r>
        <w:rPr>
          <w:sz w:val="20"/>
        </w:rPr>
        <w:t>necessary.</w:t>
      </w:r>
    </w:p>
    <w:p w:rsidR="00094A60" w:rsidRDefault="00094A60">
      <w:pPr>
        <w:jc w:val="both"/>
        <w:rPr>
          <w:sz w:val="20"/>
        </w:rPr>
        <w:sectPr w:rsidR="00094A60">
          <w:pgSz w:w="12240" w:h="15840"/>
          <w:pgMar w:top="1400" w:right="1320" w:bottom="1200" w:left="1320" w:header="0" w:footer="1017" w:gutter="0"/>
          <w:cols w:space="720"/>
        </w:sectPr>
      </w:pPr>
    </w:p>
    <w:p w:rsidR="00094A60" w:rsidRDefault="000C5E77">
      <w:pPr>
        <w:pStyle w:val="ListParagraph"/>
        <w:numPr>
          <w:ilvl w:val="2"/>
          <w:numId w:val="2"/>
        </w:numPr>
        <w:tabs>
          <w:tab w:val="left" w:pos="1921"/>
        </w:tabs>
        <w:spacing w:before="39" w:line="256" w:lineRule="auto"/>
        <w:ind w:left="1920" w:right="112"/>
        <w:jc w:val="both"/>
      </w:pPr>
      <w:r>
        <w:lastRenderedPageBreak/>
        <w:t>Comparison schools: Initially, it was determined that it would be best to limit the comparison group to a small list of institutions that were considered comparable or aspirational. Unfortunately, with a small pool of schools from which to draw data, it was quickly determined that many of the CIP codes that matched our faculty disciplines did not have a sufficient number of faculty or participating institutions to have summary statistics supplied in CUPA-HR reports. As a result, the Task Force discovered that if the comparison group was enlarged to include the full sample of Master’s institutions (in addition to the colleges and universities initially stipulated), the summary statistics were supplied in the CUPA-HR reports for nearly every CIP- rank</w:t>
      </w:r>
      <w:r>
        <w:rPr>
          <w:spacing w:val="-6"/>
        </w:rPr>
        <w:t xml:space="preserve"> </w:t>
      </w:r>
      <w:r>
        <w:t>combination.</w:t>
      </w:r>
      <w:r>
        <w:rPr>
          <w:spacing w:val="-7"/>
        </w:rPr>
        <w:t xml:space="preserve"> </w:t>
      </w:r>
      <w:r>
        <w:t>In</w:t>
      </w:r>
      <w:r>
        <w:rPr>
          <w:spacing w:val="-7"/>
        </w:rPr>
        <w:t xml:space="preserve"> </w:t>
      </w:r>
      <w:r>
        <w:t>the</w:t>
      </w:r>
      <w:r>
        <w:rPr>
          <w:spacing w:val="-6"/>
        </w:rPr>
        <w:t xml:space="preserve"> </w:t>
      </w:r>
      <w:r>
        <w:t>few</w:t>
      </w:r>
      <w:r>
        <w:rPr>
          <w:spacing w:val="-6"/>
        </w:rPr>
        <w:t xml:space="preserve"> </w:t>
      </w:r>
      <w:r>
        <w:t>instances</w:t>
      </w:r>
      <w:r>
        <w:rPr>
          <w:spacing w:val="-9"/>
        </w:rPr>
        <w:t xml:space="preserve"> </w:t>
      </w:r>
      <w:r>
        <w:t>where</w:t>
      </w:r>
      <w:r>
        <w:rPr>
          <w:spacing w:val="-6"/>
        </w:rPr>
        <w:t xml:space="preserve"> </w:t>
      </w:r>
      <w:r>
        <w:t>insufficient</w:t>
      </w:r>
      <w:r>
        <w:rPr>
          <w:spacing w:val="-6"/>
        </w:rPr>
        <w:t xml:space="preserve"> </w:t>
      </w:r>
      <w:r>
        <w:t>data</w:t>
      </w:r>
      <w:r>
        <w:rPr>
          <w:spacing w:val="-7"/>
        </w:rPr>
        <w:t xml:space="preserve"> </w:t>
      </w:r>
      <w:r>
        <w:t>existed</w:t>
      </w:r>
      <w:r>
        <w:rPr>
          <w:spacing w:val="-7"/>
        </w:rPr>
        <w:t xml:space="preserve"> </w:t>
      </w:r>
      <w:r>
        <w:t>in</w:t>
      </w:r>
      <w:r>
        <w:rPr>
          <w:spacing w:val="-7"/>
        </w:rPr>
        <w:t xml:space="preserve"> </w:t>
      </w:r>
      <w:r>
        <w:t>this</w:t>
      </w:r>
      <w:r>
        <w:rPr>
          <w:spacing w:val="-6"/>
        </w:rPr>
        <w:t xml:space="preserve"> </w:t>
      </w:r>
      <w:r>
        <w:t>sample, the Task Force expanded the search to include all Carnegie classification schools responding to the CUPA-HR</w:t>
      </w:r>
      <w:r>
        <w:rPr>
          <w:spacing w:val="-10"/>
        </w:rPr>
        <w:t xml:space="preserve"> </w:t>
      </w:r>
      <w:r>
        <w:t>survey.</w:t>
      </w:r>
    </w:p>
    <w:p w:rsidR="00094A60" w:rsidRDefault="00094A60">
      <w:pPr>
        <w:pStyle w:val="BodyText"/>
        <w:spacing w:before="6"/>
        <w:rPr>
          <w:sz w:val="23"/>
        </w:rPr>
      </w:pPr>
    </w:p>
    <w:p w:rsidR="00094A60" w:rsidRDefault="000C5E77">
      <w:pPr>
        <w:pStyle w:val="ListParagraph"/>
        <w:numPr>
          <w:ilvl w:val="2"/>
          <w:numId w:val="2"/>
        </w:numPr>
        <w:tabs>
          <w:tab w:val="left" w:pos="1921"/>
        </w:tabs>
        <w:spacing w:before="0" w:line="256" w:lineRule="auto"/>
        <w:ind w:right="114" w:hanging="359"/>
        <w:jc w:val="both"/>
      </w:pPr>
      <w:r>
        <w:t xml:space="preserve">Use of CIP codes: </w:t>
      </w:r>
      <w:r>
        <w:rPr>
          <w:i/>
        </w:rPr>
        <w:t>The Classification of Instructional Programs (CIP) provides a taxonomic</w:t>
      </w:r>
      <w:r>
        <w:rPr>
          <w:i/>
          <w:spacing w:val="-10"/>
        </w:rPr>
        <w:t xml:space="preserve"> </w:t>
      </w:r>
      <w:r>
        <w:rPr>
          <w:i/>
        </w:rPr>
        <w:t>scheme</w:t>
      </w:r>
      <w:r>
        <w:rPr>
          <w:i/>
          <w:spacing w:val="-9"/>
        </w:rPr>
        <w:t xml:space="preserve"> </w:t>
      </w:r>
      <w:r>
        <w:rPr>
          <w:i/>
        </w:rPr>
        <w:t>that</w:t>
      </w:r>
      <w:r>
        <w:rPr>
          <w:i/>
          <w:spacing w:val="-9"/>
        </w:rPr>
        <w:t xml:space="preserve"> </w:t>
      </w:r>
      <w:r>
        <w:rPr>
          <w:i/>
        </w:rPr>
        <w:t>supports</w:t>
      </w:r>
      <w:r>
        <w:rPr>
          <w:i/>
          <w:spacing w:val="-8"/>
        </w:rPr>
        <w:t xml:space="preserve"> </w:t>
      </w:r>
      <w:r>
        <w:rPr>
          <w:i/>
        </w:rPr>
        <w:t>the</w:t>
      </w:r>
      <w:r>
        <w:rPr>
          <w:i/>
          <w:spacing w:val="-11"/>
        </w:rPr>
        <w:t xml:space="preserve"> </w:t>
      </w:r>
      <w:r>
        <w:rPr>
          <w:i/>
        </w:rPr>
        <w:t>accurate</w:t>
      </w:r>
      <w:r>
        <w:rPr>
          <w:i/>
          <w:spacing w:val="-9"/>
        </w:rPr>
        <w:t xml:space="preserve"> </w:t>
      </w:r>
      <w:r>
        <w:rPr>
          <w:i/>
        </w:rPr>
        <w:t>tracking</w:t>
      </w:r>
      <w:r>
        <w:rPr>
          <w:i/>
          <w:spacing w:val="-12"/>
        </w:rPr>
        <w:t xml:space="preserve"> </w:t>
      </w:r>
      <w:r>
        <w:rPr>
          <w:i/>
        </w:rPr>
        <w:t>and</w:t>
      </w:r>
      <w:r>
        <w:rPr>
          <w:i/>
          <w:spacing w:val="-10"/>
        </w:rPr>
        <w:t xml:space="preserve"> </w:t>
      </w:r>
      <w:r>
        <w:rPr>
          <w:i/>
        </w:rPr>
        <w:t>reporting</w:t>
      </w:r>
      <w:r>
        <w:rPr>
          <w:i/>
          <w:spacing w:val="-10"/>
        </w:rPr>
        <w:t xml:space="preserve"> </w:t>
      </w:r>
      <w:r>
        <w:rPr>
          <w:i/>
        </w:rPr>
        <w:t>of</w:t>
      </w:r>
      <w:r>
        <w:rPr>
          <w:i/>
          <w:spacing w:val="-9"/>
        </w:rPr>
        <w:t xml:space="preserve"> </w:t>
      </w:r>
      <w:r>
        <w:rPr>
          <w:i/>
        </w:rPr>
        <w:t>fields</w:t>
      </w:r>
      <w:r>
        <w:rPr>
          <w:i/>
          <w:spacing w:val="-8"/>
        </w:rPr>
        <w:t xml:space="preserve"> </w:t>
      </w:r>
      <w:r>
        <w:rPr>
          <w:i/>
        </w:rPr>
        <w:t>of</w:t>
      </w:r>
      <w:r>
        <w:rPr>
          <w:i/>
          <w:spacing w:val="-12"/>
        </w:rPr>
        <w:t xml:space="preserve"> </w:t>
      </w:r>
      <w:r>
        <w:rPr>
          <w:i/>
        </w:rPr>
        <w:t xml:space="preserve">study and program completions activity. CIP was originally developed by the U.S. Department of Education's National Center for Education Statistics (NCES) in 1980, with revisions occurring in 1985, 1990, and 2000. (source: </w:t>
      </w:r>
      <w:hyperlink r:id="rId16">
        <w:r>
          <w:rPr>
            <w:i/>
            <w:color w:val="0000FF"/>
            <w:u w:val="single" w:color="0000FF"/>
          </w:rPr>
          <w:t xml:space="preserve">https://nces.ed.gov/ipeds/cipcode/Default.aspx?y=55 </w:t>
        </w:r>
      </w:hyperlink>
      <w:r>
        <w:rPr>
          <w:i/>
        </w:rPr>
        <w:t>)</w:t>
      </w:r>
      <w:r>
        <w:t>. The Task Force chose to use CIP codes rather than department designations in order to more appropriately parse the faculty and compare the salaries Georgia College offers to those offered at comparison schools. The Task Force chose to use 4-digit CIP codes (as opposed to 2- digit or 6-digit CIP codes) because the level of disaggregation closely matched our course offerings and we were most likely to find matching salaries reported by the institutions from which data were</w:t>
      </w:r>
      <w:r>
        <w:rPr>
          <w:spacing w:val="-17"/>
        </w:rPr>
        <w:t xml:space="preserve"> </w:t>
      </w:r>
      <w:r>
        <w:t>available.</w:t>
      </w:r>
    </w:p>
    <w:p w:rsidR="00094A60" w:rsidRDefault="00094A60">
      <w:pPr>
        <w:pStyle w:val="BodyText"/>
        <w:spacing w:before="3"/>
        <w:rPr>
          <w:sz w:val="23"/>
        </w:rPr>
      </w:pPr>
    </w:p>
    <w:p w:rsidR="00094A60" w:rsidRDefault="000C5E77">
      <w:pPr>
        <w:pStyle w:val="ListParagraph"/>
        <w:numPr>
          <w:ilvl w:val="2"/>
          <w:numId w:val="2"/>
        </w:numPr>
        <w:tabs>
          <w:tab w:val="left" w:pos="1921"/>
        </w:tabs>
        <w:spacing w:before="0" w:line="254" w:lineRule="auto"/>
        <w:ind w:right="113" w:hanging="359"/>
        <w:jc w:val="both"/>
      </w:pPr>
      <w:r>
        <w:t>Five</w:t>
      </w:r>
      <w:r>
        <w:rPr>
          <w:spacing w:val="-4"/>
        </w:rPr>
        <w:t xml:space="preserve"> </w:t>
      </w:r>
      <w:r>
        <w:t>Number</w:t>
      </w:r>
      <w:r>
        <w:rPr>
          <w:spacing w:val="-7"/>
        </w:rPr>
        <w:t xml:space="preserve"> </w:t>
      </w:r>
      <w:r>
        <w:t>Summaries:</w:t>
      </w:r>
      <w:r>
        <w:rPr>
          <w:spacing w:val="-3"/>
        </w:rPr>
        <w:t xml:space="preserve"> </w:t>
      </w:r>
      <w:r>
        <w:t>In</w:t>
      </w:r>
      <w:r>
        <w:rPr>
          <w:spacing w:val="-5"/>
        </w:rPr>
        <w:t xml:space="preserve"> </w:t>
      </w:r>
      <w:r>
        <w:t>the</w:t>
      </w:r>
      <w:r>
        <w:rPr>
          <w:spacing w:val="-6"/>
        </w:rPr>
        <w:t xml:space="preserve"> </w:t>
      </w:r>
      <w:r>
        <w:t>tables</w:t>
      </w:r>
      <w:r>
        <w:rPr>
          <w:spacing w:val="-7"/>
        </w:rPr>
        <w:t xml:space="preserve"> </w:t>
      </w:r>
      <w:r>
        <w:t>presented</w:t>
      </w:r>
      <w:r>
        <w:rPr>
          <w:spacing w:val="-5"/>
        </w:rPr>
        <w:t xml:space="preserve"> </w:t>
      </w:r>
      <w:r>
        <w:t>in</w:t>
      </w:r>
      <w:r>
        <w:rPr>
          <w:spacing w:val="-8"/>
        </w:rPr>
        <w:t xml:space="preserve"> </w:t>
      </w:r>
      <w:r>
        <w:t>the</w:t>
      </w:r>
      <w:r>
        <w:rPr>
          <w:spacing w:val="-4"/>
        </w:rPr>
        <w:t xml:space="preserve"> </w:t>
      </w:r>
      <w:r>
        <w:t>appendices</w:t>
      </w:r>
      <w:r>
        <w:rPr>
          <w:spacing w:val="-9"/>
        </w:rPr>
        <w:t xml:space="preserve"> </w:t>
      </w:r>
      <w:r>
        <w:t>of</w:t>
      </w:r>
      <w:r>
        <w:rPr>
          <w:spacing w:val="-4"/>
        </w:rPr>
        <w:t xml:space="preserve"> </w:t>
      </w:r>
      <w:r>
        <w:t>this</w:t>
      </w:r>
      <w:r>
        <w:rPr>
          <w:spacing w:val="-6"/>
        </w:rPr>
        <w:t xml:space="preserve"> </w:t>
      </w:r>
      <w:r>
        <w:t>report,</w:t>
      </w:r>
      <w:r>
        <w:rPr>
          <w:spacing w:val="-7"/>
        </w:rPr>
        <w:t xml:space="preserve"> </w:t>
      </w:r>
      <w:r>
        <w:t>we chose to present the 5</w:t>
      </w:r>
      <w:proofErr w:type="spellStart"/>
      <w:r>
        <w:rPr>
          <w:position w:val="8"/>
          <w:sz w:val="14"/>
        </w:rPr>
        <w:t>th</w:t>
      </w:r>
      <w:proofErr w:type="spellEnd"/>
      <w:r>
        <w:rPr>
          <w:position w:val="8"/>
          <w:sz w:val="14"/>
        </w:rPr>
        <w:t xml:space="preserve"> </w:t>
      </w:r>
      <w:r>
        <w:t>percentile, first quartile, median, third quartile, and 95</w:t>
      </w:r>
      <w:proofErr w:type="spellStart"/>
      <w:r>
        <w:rPr>
          <w:position w:val="8"/>
          <w:sz w:val="14"/>
        </w:rPr>
        <w:t>th</w:t>
      </w:r>
      <w:proofErr w:type="spellEnd"/>
      <w:r>
        <w:rPr>
          <w:position w:val="8"/>
          <w:sz w:val="14"/>
        </w:rPr>
        <w:t xml:space="preserve"> </w:t>
      </w:r>
      <w:r>
        <w:t>percentiles as provided by CUPA-HR reports</w:t>
      </w:r>
      <w:hyperlink w:anchor="_bookmark1" w:history="1">
        <w:r>
          <w:rPr>
            <w:position w:val="8"/>
            <w:sz w:val="14"/>
          </w:rPr>
          <w:t>2</w:t>
        </w:r>
      </w:hyperlink>
      <w:r>
        <w:rPr>
          <w:position w:val="8"/>
          <w:sz w:val="14"/>
        </w:rPr>
        <w:t xml:space="preserve"> </w:t>
      </w:r>
      <w:r>
        <w:t>to see where the Georgia College median salaries for the same CIP-rank fell. The endpoints (5</w:t>
      </w:r>
      <w:proofErr w:type="spellStart"/>
      <w:r>
        <w:rPr>
          <w:position w:val="8"/>
          <w:sz w:val="14"/>
        </w:rPr>
        <w:t>th</w:t>
      </w:r>
      <w:proofErr w:type="spellEnd"/>
      <w:r>
        <w:rPr>
          <w:position w:val="8"/>
          <w:sz w:val="14"/>
        </w:rPr>
        <w:t xml:space="preserve"> </w:t>
      </w:r>
      <w:r>
        <w:t>and 95</w:t>
      </w:r>
      <w:proofErr w:type="spellStart"/>
      <w:r>
        <w:rPr>
          <w:position w:val="8"/>
          <w:sz w:val="14"/>
        </w:rPr>
        <w:t>th</w:t>
      </w:r>
      <w:proofErr w:type="spellEnd"/>
      <w:r>
        <w:rPr>
          <w:position w:val="8"/>
          <w:sz w:val="14"/>
        </w:rPr>
        <w:t xml:space="preserve"> </w:t>
      </w:r>
      <w:r>
        <w:t>percentiles) provide approximations to the minimum and maximum values within these data</w:t>
      </w:r>
      <w:r>
        <w:rPr>
          <w:spacing w:val="-35"/>
        </w:rPr>
        <w:t xml:space="preserve"> </w:t>
      </w:r>
      <w:r>
        <w:t>and exclude the most extreme outliers. The first and third quartiles bound an interval of the middle fifty percent of salaries within any rank and CIP code. The median salary was chosen instead of the mean to mitigate the influence of extreme outliers in the data on these central</w:t>
      </w:r>
      <w:r>
        <w:rPr>
          <w:spacing w:val="-9"/>
        </w:rPr>
        <w:t xml:space="preserve"> </w:t>
      </w:r>
      <w:r>
        <w:t>tendencies.</w:t>
      </w:r>
    </w:p>
    <w:p w:rsidR="00094A60" w:rsidRDefault="00094A60">
      <w:pPr>
        <w:pStyle w:val="BodyText"/>
        <w:spacing w:before="8"/>
        <w:rPr>
          <w:sz w:val="23"/>
        </w:rPr>
      </w:pPr>
    </w:p>
    <w:p w:rsidR="00094A60" w:rsidRDefault="000C5E77">
      <w:pPr>
        <w:pStyle w:val="ListParagraph"/>
        <w:numPr>
          <w:ilvl w:val="2"/>
          <w:numId w:val="2"/>
        </w:numPr>
        <w:tabs>
          <w:tab w:val="left" w:pos="1920"/>
        </w:tabs>
        <w:spacing w:before="0" w:line="256" w:lineRule="auto"/>
        <w:ind w:right="114"/>
        <w:jc w:val="both"/>
      </w:pPr>
      <w:r>
        <w:t>Adjustments: The only adjustments made to our data were to convert any 12-month salaries</w:t>
      </w:r>
      <w:r>
        <w:rPr>
          <w:spacing w:val="-4"/>
        </w:rPr>
        <w:t xml:space="preserve"> </w:t>
      </w:r>
      <w:r>
        <w:t>to</w:t>
      </w:r>
      <w:r>
        <w:rPr>
          <w:spacing w:val="-6"/>
        </w:rPr>
        <w:t xml:space="preserve"> </w:t>
      </w:r>
      <w:r>
        <w:t>10-month</w:t>
      </w:r>
      <w:r>
        <w:rPr>
          <w:spacing w:val="-3"/>
        </w:rPr>
        <w:t xml:space="preserve"> </w:t>
      </w:r>
      <w:r>
        <w:t>salaries</w:t>
      </w:r>
      <w:r>
        <w:rPr>
          <w:spacing w:val="-2"/>
        </w:rPr>
        <w:t xml:space="preserve"> </w:t>
      </w:r>
      <w:r>
        <w:t>(by</w:t>
      </w:r>
      <w:r>
        <w:rPr>
          <w:spacing w:val="-1"/>
        </w:rPr>
        <w:t xml:space="preserve"> </w:t>
      </w:r>
      <w:r>
        <w:t>dividing</w:t>
      </w:r>
      <w:r>
        <w:rPr>
          <w:spacing w:val="-3"/>
        </w:rPr>
        <w:t xml:space="preserve"> </w:t>
      </w:r>
      <w:r>
        <w:t>by</w:t>
      </w:r>
      <w:r>
        <w:rPr>
          <w:spacing w:val="-6"/>
        </w:rPr>
        <w:t xml:space="preserve"> </w:t>
      </w:r>
      <w:r>
        <w:t>1.2).</w:t>
      </w:r>
      <w:r>
        <w:rPr>
          <w:spacing w:val="-5"/>
        </w:rPr>
        <w:t xml:space="preserve"> </w:t>
      </w:r>
      <w:r>
        <w:t>As</w:t>
      </w:r>
      <w:r>
        <w:rPr>
          <w:spacing w:val="-4"/>
        </w:rPr>
        <w:t xml:space="preserve"> </w:t>
      </w:r>
      <w:r>
        <w:t>the</w:t>
      </w:r>
      <w:r>
        <w:rPr>
          <w:spacing w:val="-1"/>
        </w:rPr>
        <w:t xml:space="preserve"> </w:t>
      </w:r>
      <w:r>
        <w:t>data</w:t>
      </w:r>
      <w:r>
        <w:rPr>
          <w:spacing w:val="-4"/>
        </w:rPr>
        <w:t xml:space="preserve"> </w:t>
      </w:r>
      <w:r>
        <w:t>all</w:t>
      </w:r>
      <w:r>
        <w:rPr>
          <w:spacing w:val="-5"/>
        </w:rPr>
        <w:t xml:space="preserve"> </w:t>
      </w:r>
      <w:r>
        <w:t>came</w:t>
      </w:r>
      <w:r>
        <w:rPr>
          <w:spacing w:val="-4"/>
        </w:rPr>
        <w:t xml:space="preserve"> </w:t>
      </w:r>
      <w:r>
        <w:t>from</w:t>
      </w:r>
      <w:r>
        <w:rPr>
          <w:spacing w:val="-3"/>
        </w:rPr>
        <w:t xml:space="preserve"> </w:t>
      </w:r>
      <w:r>
        <w:t>the</w:t>
      </w:r>
      <w:r>
        <w:rPr>
          <w:spacing w:val="-4"/>
        </w:rPr>
        <w:t xml:space="preserve"> </w:t>
      </w:r>
      <w:r>
        <w:t xml:space="preserve">same year, there was no reason to adjust for changes in cost of living over time. There was no attempt to adjust for any cost of living differences as the schools in the sample come from a wide variety of geographical areas. Every area has its advantages and disadvantages. The committee did not see any point in debating the relative merits </w:t>
      </w:r>
      <w:proofErr w:type="gramStart"/>
      <w:r>
        <w:t>of  any</w:t>
      </w:r>
      <w:proofErr w:type="gramEnd"/>
      <w:r>
        <w:t xml:space="preserve">  regional  differences  and  the  various  ways  they  might  be  capitalized   </w:t>
      </w:r>
      <w:r>
        <w:rPr>
          <w:spacing w:val="2"/>
        </w:rPr>
        <w:t xml:space="preserve"> </w:t>
      </w:r>
      <w:r>
        <w:t>in</w:t>
      </w:r>
    </w:p>
    <w:p w:rsidR="00094A60" w:rsidRDefault="00A23B27">
      <w:pPr>
        <w:pStyle w:val="BodyText"/>
        <w:spacing w:before="9"/>
        <w:rPr>
          <w:sz w:val="19"/>
        </w:rPr>
      </w:pPr>
      <w:r>
        <w:rPr>
          <w:noProof/>
        </w:rPr>
        <mc:AlternateContent>
          <mc:Choice Requires="wps">
            <w:drawing>
              <wp:anchor distT="0" distB="0" distL="0" distR="0" simplePos="0" relativeHeight="1072" behindDoc="0" locked="0" layoutInCell="1" allowOverlap="1">
                <wp:simplePos x="0" y="0"/>
                <wp:positionH relativeFrom="page">
                  <wp:posOffset>914400</wp:posOffset>
                </wp:positionH>
                <wp:positionV relativeFrom="paragraph">
                  <wp:posOffset>182880</wp:posOffset>
                </wp:positionV>
                <wp:extent cx="1828800" cy="0"/>
                <wp:effectExtent l="9525" t="6985" r="9525"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D1685"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3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PA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" strokeweight=".72pt">
                <w10:wrap type="topAndBottom" anchorx="page"/>
              </v:line>
            </w:pict>
          </mc:Fallback>
        </mc:AlternateContent>
      </w:r>
    </w:p>
    <w:p w:rsidR="00094A60" w:rsidRDefault="000C5E77">
      <w:pPr>
        <w:spacing w:before="69"/>
        <w:ind w:left="120" w:right="360"/>
        <w:rPr>
          <w:sz w:val="20"/>
        </w:rPr>
      </w:pPr>
      <w:bookmarkStart w:id="10" w:name="_bookmark1"/>
      <w:bookmarkEnd w:id="10"/>
      <w:r>
        <w:rPr>
          <w:position w:val="7"/>
          <w:sz w:val="13"/>
        </w:rPr>
        <w:t xml:space="preserve">2 </w:t>
      </w:r>
      <w:r>
        <w:rPr>
          <w:sz w:val="20"/>
        </w:rPr>
        <w:t>The CUPA-HR reports did not provide minimum (0</w:t>
      </w:r>
      <w:proofErr w:type="spellStart"/>
      <w:r>
        <w:rPr>
          <w:position w:val="7"/>
          <w:sz w:val="13"/>
        </w:rPr>
        <w:t>th</w:t>
      </w:r>
      <w:proofErr w:type="spellEnd"/>
      <w:r>
        <w:rPr>
          <w:position w:val="7"/>
          <w:sz w:val="13"/>
        </w:rPr>
        <w:t xml:space="preserve"> </w:t>
      </w:r>
      <w:r>
        <w:rPr>
          <w:sz w:val="20"/>
        </w:rPr>
        <w:t>percentile) or maximum (100</w:t>
      </w:r>
      <w:proofErr w:type="spellStart"/>
      <w:r>
        <w:rPr>
          <w:position w:val="7"/>
          <w:sz w:val="13"/>
        </w:rPr>
        <w:t>th</w:t>
      </w:r>
      <w:proofErr w:type="spellEnd"/>
      <w:r>
        <w:rPr>
          <w:position w:val="7"/>
          <w:sz w:val="13"/>
        </w:rPr>
        <w:t xml:space="preserve"> </w:t>
      </w:r>
      <w:r>
        <w:rPr>
          <w:sz w:val="20"/>
        </w:rPr>
        <w:t>percentile).</w:t>
      </w:r>
    </w:p>
    <w:p w:rsidR="00094A60" w:rsidRDefault="00094A60">
      <w:pPr>
        <w:rPr>
          <w:sz w:val="20"/>
        </w:rPr>
        <w:sectPr w:rsidR="00094A60">
          <w:pgSz w:w="12240" w:h="15840"/>
          <w:pgMar w:top="1400" w:right="1320" w:bottom="1200" w:left="1320" w:header="0" w:footer="1017" w:gutter="0"/>
          <w:cols w:space="720"/>
        </w:sectPr>
      </w:pPr>
    </w:p>
    <w:p w:rsidR="00094A60" w:rsidRDefault="000C5E77">
      <w:pPr>
        <w:pStyle w:val="BodyText"/>
        <w:spacing w:before="39" w:line="254" w:lineRule="auto"/>
        <w:ind w:left="1559"/>
      </w:pPr>
      <w:r>
        <w:lastRenderedPageBreak/>
        <w:t>academic wages largely because we could not observe the region of origin for any data in the study other than our own.</w:t>
      </w:r>
    </w:p>
    <w:p w:rsidR="00094A60" w:rsidRDefault="00094A60">
      <w:pPr>
        <w:pStyle w:val="BodyText"/>
        <w:spacing w:before="8"/>
        <w:rPr>
          <w:sz w:val="23"/>
        </w:rPr>
      </w:pPr>
    </w:p>
    <w:p w:rsidR="00094A60" w:rsidRDefault="000C5E77">
      <w:pPr>
        <w:pStyle w:val="Heading1"/>
        <w:numPr>
          <w:ilvl w:val="1"/>
          <w:numId w:val="2"/>
        </w:numPr>
        <w:tabs>
          <w:tab w:val="left" w:pos="1200"/>
        </w:tabs>
        <w:spacing w:before="0"/>
        <w:ind w:left="1199" w:hanging="360"/>
        <w:jc w:val="left"/>
      </w:pPr>
      <w:bookmarkStart w:id="11" w:name="_TOC_250009"/>
      <w:r>
        <w:t>Interpretation of</w:t>
      </w:r>
      <w:r>
        <w:rPr>
          <w:spacing w:val="-9"/>
        </w:rPr>
        <w:t xml:space="preserve"> </w:t>
      </w:r>
      <w:bookmarkEnd w:id="11"/>
      <w:r>
        <w:t>Results</w:t>
      </w:r>
    </w:p>
    <w:p w:rsidR="00094A60" w:rsidRDefault="000C5E77">
      <w:pPr>
        <w:pStyle w:val="BodyText"/>
        <w:spacing w:before="178" w:line="256" w:lineRule="auto"/>
        <w:ind w:left="479" w:right="115"/>
        <w:jc w:val="both"/>
      </w:pPr>
      <w:r>
        <w:t>By presenting the data as both a table and a box and whisker plot (see Appendix), we believe we have</w:t>
      </w:r>
      <w:r>
        <w:rPr>
          <w:spacing w:val="-6"/>
        </w:rPr>
        <w:t xml:space="preserve"> </w:t>
      </w:r>
      <w:r>
        <w:t>made</w:t>
      </w:r>
      <w:r>
        <w:rPr>
          <w:spacing w:val="-6"/>
        </w:rPr>
        <w:t xml:space="preserve"> </w:t>
      </w:r>
      <w:r>
        <w:t>interpretation</w:t>
      </w:r>
      <w:r>
        <w:rPr>
          <w:spacing w:val="-7"/>
        </w:rPr>
        <w:t xml:space="preserve"> </w:t>
      </w:r>
      <w:r>
        <w:t>of</w:t>
      </w:r>
      <w:r>
        <w:rPr>
          <w:spacing w:val="-5"/>
        </w:rPr>
        <w:t xml:space="preserve"> </w:t>
      </w:r>
      <w:r>
        <w:t>the</w:t>
      </w:r>
      <w:r>
        <w:rPr>
          <w:spacing w:val="-6"/>
        </w:rPr>
        <w:t xml:space="preserve"> </w:t>
      </w:r>
      <w:r>
        <w:t>data</w:t>
      </w:r>
      <w:r>
        <w:rPr>
          <w:spacing w:val="-6"/>
        </w:rPr>
        <w:t xml:space="preserve"> </w:t>
      </w:r>
      <w:r>
        <w:t>extremely</w:t>
      </w:r>
      <w:r>
        <w:rPr>
          <w:spacing w:val="-6"/>
        </w:rPr>
        <w:t xml:space="preserve"> </w:t>
      </w:r>
      <w:r>
        <w:t>accessible.</w:t>
      </w:r>
      <w:r>
        <w:rPr>
          <w:spacing w:val="-5"/>
        </w:rPr>
        <w:t xml:space="preserve"> </w:t>
      </w:r>
      <w:r>
        <w:t>This</w:t>
      </w:r>
      <w:r>
        <w:rPr>
          <w:spacing w:val="-4"/>
        </w:rPr>
        <w:t xml:space="preserve"> </w:t>
      </w:r>
      <w:r>
        <w:t>should</w:t>
      </w:r>
      <w:r>
        <w:rPr>
          <w:spacing w:val="-7"/>
        </w:rPr>
        <w:t xml:space="preserve"> </w:t>
      </w:r>
      <w:r>
        <w:t>make</w:t>
      </w:r>
      <w:r>
        <w:rPr>
          <w:spacing w:val="-4"/>
        </w:rPr>
        <w:t xml:space="preserve"> </w:t>
      </w:r>
      <w:r>
        <w:t>the</w:t>
      </w:r>
      <w:r>
        <w:rPr>
          <w:spacing w:val="-6"/>
        </w:rPr>
        <w:t xml:space="preserve"> </w:t>
      </w:r>
      <w:r>
        <w:t>comprehension of the results by a wide audience relatively easy. For every Georgia College group of faculty members of the same rank and in the same CIP code category, we have provided their median salary and plotted that median to scale on the box and whisker plot. This geometric perspective provides a visual cue of where our median salaries fall relative to the salaries of the comparison group. This visual presentation will render an annual assessment of progress</w:t>
      </w:r>
      <w:r>
        <w:rPr>
          <w:spacing w:val="-34"/>
        </w:rPr>
        <w:t xml:space="preserve"> </w:t>
      </w:r>
      <w:r>
        <w:t>straightforward.</w:t>
      </w:r>
    </w:p>
    <w:p w:rsidR="00094A60" w:rsidRDefault="000C5E77">
      <w:pPr>
        <w:pStyle w:val="Heading1"/>
        <w:numPr>
          <w:ilvl w:val="0"/>
          <w:numId w:val="2"/>
        </w:numPr>
        <w:tabs>
          <w:tab w:val="left" w:pos="839"/>
        </w:tabs>
        <w:spacing w:before="159"/>
        <w:ind w:left="838" w:hanging="720"/>
        <w:jc w:val="left"/>
      </w:pPr>
      <w:bookmarkStart w:id="12" w:name="_TOC_250008"/>
      <w:r>
        <w:t>Development of Salary Structure and Compensation</w:t>
      </w:r>
      <w:r>
        <w:rPr>
          <w:spacing w:val="-21"/>
        </w:rPr>
        <w:t xml:space="preserve"> </w:t>
      </w:r>
      <w:bookmarkEnd w:id="12"/>
      <w:r>
        <w:t>Model</w:t>
      </w:r>
    </w:p>
    <w:p w:rsidR="00094A60" w:rsidRDefault="000C5E77">
      <w:pPr>
        <w:pStyle w:val="BodyText"/>
        <w:spacing w:before="178" w:line="256" w:lineRule="auto"/>
        <w:ind w:left="478" w:right="114"/>
        <w:jc w:val="both"/>
      </w:pPr>
      <w:r>
        <w:t>There were many facets to a compensation package that go beyond the salaries we offer for different disciplines and different ranks. Some institutions have experimented with models that focus simply on rank or job title. Ignoring the inherent differences in the opportunity costs faced by practitioners of different disciplines generally has resulted in an inability to hire faculty for disciplines where market salaries were higher but being able to hire outstanding faculty for disciplines with lower market salaries.</w:t>
      </w:r>
    </w:p>
    <w:p w:rsidR="00094A60" w:rsidRDefault="00094A60">
      <w:pPr>
        <w:pStyle w:val="BodyText"/>
      </w:pPr>
    </w:p>
    <w:p w:rsidR="00094A60" w:rsidRDefault="000C5E77">
      <w:pPr>
        <w:pStyle w:val="BodyText"/>
        <w:spacing w:before="176" w:line="256" w:lineRule="auto"/>
        <w:ind w:left="478" w:right="114"/>
        <w:jc w:val="both"/>
      </w:pPr>
      <w:r>
        <w:t>Our approach treats each discipline (or CIP code) as its own market. The Task Force implicitly assumed</w:t>
      </w:r>
      <w:r>
        <w:rPr>
          <w:spacing w:val="-12"/>
        </w:rPr>
        <w:t xml:space="preserve"> </w:t>
      </w:r>
      <w:r>
        <w:t>that</w:t>
      </w:r>
      <w:r>
        <w:rPr>
          <w:spacing w:val="-11"/>
        </w:rPr>
        <w:t xml:space="preserve"> </w:t>
      </w:r>
      <w:r>
        <w:t>the</w:t>
      </w:r>
      <w:r>
        <w:rPr>
          <w:spacing w:val="-11"/>
        </w:rPr>
        <w:t xml:space="preserve"> </w:t>
      </w:r>
      <w:r>
        <w:t>relevant</w:t>
      </w:r>
      <w:r>
        <w:rPr>
          <w:spacing w:val="-13"/>
        </w:rPr>
        <w:t xml:space="preserve"> </w:t>
      </w:r>
      <w:r>
        <w:t>comparison</w:t>
      </w:r>
      <w:r>
        <w:rPr>
          <w:spacing w:val="-12"/>
        </w:rPr>
        <w:t xml:space="preserve"> </w:t>
      </w:r>
      <w:r>
        <w:t>group</w:t>
      </w:r>
      <w:r>
        <w:rPr>
          <w:spacing w:val="-12"/>
        </w:rPr>
        <w:t xml:space="preserve"> </w:t>
      </w:r>
      <w:r>
        <w:t>for</w:t>
      </w:r>
      <w:r>
        <w:rPr>
          <w:spacing w:val="-12"/>
        </w:rPr>
        <w:t xml:space="preserve"> </w:t>
      </w:r>
      <w:r>
        <w:t>any</w:t>
      </w:r>
      <w:r>
        <w:rPr>
          <w:spacing w:val="-11"/>
        </w:rPr>
        <w:t xml:space="preserve"> </w:t>
      </w:r>
      <w:r>
        <w:t>faculty</w:t>
      </w:r>
      <w:r>
        <w:rPr>
          <w:spacing w:val="-13"/>
        </w:rPr>
        <w:t xml:space="preserve"> </w:t>
      </w:r>
      <w:r>
        <w:t>member</w:t>
      </w:r>
      <w:r>
        <w:rPr>
          <w:spacing w:val="-14"/>
        </w:rPr>
        <w:t xml:space="preserve"> </w:t>
      </w:r>
      <w:r>
        <w:t>were</w:t>
      </w:r>
      <w:r>
        <w:rPr>
          <w:spacing w:val="-13"/>
        </w:rPr>
        <w:t xml:space="preserve"> </w:t>
      </w:r>
      <w:r>
        <w:t>their</w:t>
      </w:r>
      <w:r>
        <w:rPr>
          <w:spacing w:val="-11"/>
        </w:rPr>
        <w:t xml:space="preserve"> </w:t>
      </w:r>
      <w:r>
        <w:t>colleagues</w:t>
      </w:r>
      <w:r>
        <w:rPr>
          <w:spacing w:val="-11"/>
        </w:rPr>
        <w:t xml:space="preserve"> </w:t>
      </w:r>
      <w:r>
        <w:t>across their own discipline at their own rank rather than their colleagues in different disciplines at Georgia College. Therefore, the Task Force suggests that the salary structure at Georgia College should</w:t>
      </w:r>
      <w:r>
        <w:rPr>
          <w:spacing w:val="-7"/>
        </w:rPr>
        <w:t xml:space="preserve"> </w:t>
      </w:r>
      <w:r>
        <w:t>represent</w:t>
      </w:r>
      <w:r>
        <w:rPr>
          <w:spacing w:val="-8"/>
        </w:rPr>
        <w:t xml:space="preserve"> </w:t>
      </w:r>
      <w:r>
        <w:t>the</w:t>
      </w:r>
      <w:r>
        <w:rPr>
          <w:spacing w:val="-8"/>
        </w:rPr>
        <w:t xml:space="preserve"> </w:t>
      </w:r>
      <w:r>
        <w:t>salary</w:t>
      </w:r>
      <w:r>
        <w:rPr>
          <w:spacing w:val="-8"/>
        </w:rPr>
        <w:t xml:space="preserve"> </w:t>
      </w:r>
      <w:r>
        <w:t>structure</w:t>
      </w:r>
      <w:r>
        <w:rPr>
          <w:spacing w:val="-6"/>
        </w:rPr>
        <w:t xml:space="preserve"> </w:t>
      </w:r>
      <w:r>
        <w:t>seen</w:t>
      </w:r>
      <w:r>
        <w:rPr>
          <w:spacing w:val="-7"/>
        </w:rPr>
        <w:t xml:space="preserve"> </w:t>
      </w:r>
      <w:r>
        <w:t>across</w:t>
      </w:r>
      <w:r>
        <w:rPr>
          <w:spacing w:val="-9"/>
        </w:rPr>
        <w:t xml:space="preserve"> </w:t>
      </w:r>
      <w:r>
        <w:t>the</w:t>
      </w:r>
      <w:r>
        <w:rPr>
          <w:spacing w:val="-6"/>
        </w:rPr>
        <w:t xml:space="preserve"> </w:t>
      </w:r>
      <w:r>
        <w:t>comparison</w:t>
      </w:r>
      <w:r>
        <w:rPr>
          <w:spacing w:val="-10"/>
        </w:rPr>
        <w:t xml:space="preserve"> </w:t>
      </w:r>
      <w:r>
        <w:t>schools.</w:t>
      </w:r>
      <w:r>
        <w:rPr>
          <w:spacing w:val="-10"/>
        </w:rPr>
        <w:t xml:space="preserve"> </w:t>
      </w:r>
      <w:r>
        <w:t>It</w:t>
      </w:r>
      <w:r>
        <w:rPr>
          <w:spacing w:val="-6"/>
        </w:rPr>
        <w:t xml:space="preserve"> </w:t>
      </w:r>
      <w:r>
        <w:t>should</w:t>
      </w:r>
      <w:r>
        <w:rPr>
          <w:spacing w:val="-7"/>
        </w:rPr>
        <w:t xml:space="preserve"> </w:t>
      </w:r>
      <w:r>
        <w:t>be</w:t>
      </w:r>
      <w:r>
        <w:rPr>
          <w:spacing w:val="-6"/>
        </w:rPr>
        <w:t xml:space="preserve"> </w:t>
      </w:r>
      <w:r>
        <w:t>noted</w:t>
      </w:r>
      <w:r>
        <w:rPr>
          <w:spacing w:val="-10"/>
        </w:rPr>
        <w:t xml:space="preserve"> </w:t>
      </w:r>
      <w:r>
        <w:t>that such an approach implies that an annual reassessment of the salary structure of comparison schools</w:t>
      </w:r>
      <w:r>
        <w:rPr>
          <w:spacing w:val="-9"/>
        </w:rPr>
        <w:t xml:space="preserve"> </w:t>
      </w:r>
      <w:r>
        <w:t>is</w:t>
      </w:r>
      <w:r>
        <w:rPr>
          <w:spacing w:val="-9"/>
        </w:rPr>
        <w:t xml:space="preserve"> </w:t>
      </w:r>
      <w:r>
        <w:t>strongly</w:t>
      </w:r>
      <w:r>
        <w:rPr>
          <w:spacing w:val="-8"/>
        </w:rPr>
        <w:t xml:space="preserve"> </w:t>
      </w:r>
      <w:r>
        <w:t>recommended.</w:t>
      </w:r>
      <w:r>
        <w:rPr>
          <w:spacing w:val="-9"/>
        </w:rPr>
        <w:t xml:space="preserve"> </w:t>
      </w:r>
      <w:r>
        <w:t>If</w:t>
      </w:r>
      <w:r>
        <w:rPr>
          <w:spacing w:val="-9"/>
        </w:rPr>
        <w:t xml:space="preserve"> </w:t>
      </w:r>
      <w:r>
        <w:t>different</w:t>
      </w:r>
      <w:r>
        <w:rPr>
          <w:spacing w:val="-8"/>
        </w:rPr>
        <w:t xml:space="preserve"> </w:t>
      </w:r>
      <w:r>
        <w:t>disciplines</w:t>
      </w:r>
      <w:r>
        <w:rPr>
          <w:spacing w:val="-9"/>
        </w:rPr>
        <w:t xml:space="preserve"> </w:t>
      </w:r>
      <w:r>
        <w:t>become</w:t>
      </w:r>
      <w:r>
        <w:rPr>
          <w:spacing w:val="-8"/>
        </w:rPr>
        <w:t xml:space="preserve"> </w:t>
      </w:r>
      <w:r>
        <w:t>more</w:t>
      </w:r>
      <w:r>
        <w:rPr>
          <w:spacing w:val="-8"/>
        </w:rPr>
        <w:t xml:space="preserve"> </w:t>
      </w:r>
      <w:r>
        <w:t>popular</w:t>
      </w:r>
      <w:r>
        <w:rPr>
          <w:spacing w:val="-9"/>
        </w:rPr>
        <w:t xml:space="preserve"> </w:t>
      </w:r>
      <w:r>
        <w:t>or</w:t>
      </w:r>
      <w:r>
        <w:rPr>
          <w:spacing w:val="-12"/>
        </w:rPr>
        <w:t xml:space="preserve"> </w:t>
      </w:r>
      <w:r>
        <w:t>go</w:t>
      </w:r>
      <w:r>
        <w:rPr>
          <w:spacing w:val="-8"/>
        </w:rPr>
        <w:t xml:space="preserve"> </w:t>
      </w:r>
      <w:r>
        <w:t>out</w:t>
      </w:r>
      <w:r>
        <w:rPr>
          <w:spacing w:val="-11"/>
        </w:rPr>
        <w:t xml:space="preserve"> </w:t>
      </w:r>
      <w:r>
        <w:t>of</w:t>
      </w:r>
      <w:r>
        <w:rPr>
          <w:spacing w:val="-9"/>
        </w:rPr>
        <w:t xml:space="preserve"> </w:t>
      </w:r>
      <w:r>
        <w:t>favor, salaries are likely to reflect such shifts. A disciplined vision true to Georgia College’s mission will prevent “chasing the popular majors” and help avoid competing for faculty with temporarily inflated</w:t>
      </w:r>
      <w:r>
        <w:rPr>
          <w:spacing w:val="-6"/>
        </w:rPr>
        <w:t xml:space="preserve"> </w:t>
      </w:r>
      <w:r>
        <w:t>salaries.</w:t>
      </w:r>
    </w:p>
    <w:p w:rsidR="00094A60" w:rsidRDefault="00094A60">
      <w:pPr>
        <w:pStyle w:val="BodyText"/>
        <w:spacing w:before="2"/>
        <w:rPr>
          <w:sz w:val="23"/>
        </w:rPr>
      </w:pPr>
    </w:p>
    <w:p w:rsidR="00094A60" w:rsidRDefault="000C5E77">
      <w:pPr>
        <w:pStyle w:val="Heading1"/>
        <w:numPr>
          <w:ilvl w:val="0"/>
          <w:numId w:val="2"/>
        </w:numPr>
        <w:tabs>
          <w:tab w:val="left" w:pos="839"/>
        </w:tabs>
        <w:spacing w:before="1"/>
        <w:ind w:left="838" w:hanging="720"/>
        <w:jc w:val="left"/>
      </w:pPr>
      <w:bookmarkStart w:id="13" w:name="_TOC_250007"/>
      <w:r>
        <w:t>Faculty Compensation</w:t>
      </w:r>
      <w:r>
        <w:rPr>
          <w:spacing w:val="-15"/>
        </w:rPr>
        <w:t xml:space="preserve"> </w:t>
      </w:r>
      <w:bookmarkEnd w:id="13"/>
      <w:r>
        <w:t>Philosophy</w:t>
      </w:r>
    </w:p>
    <w:p w:rsidR="00094A60" w:rsidRDefault="000C5E77">
      <w:pPr>
        <w:pStyle w:val="BodyText"/>
        <w:spacing w:before="178" w:line="256" w:lineRule="auto"/>
        <w:ind w:left="478" w:right="115"/>
        <w:jc w:val="both"/>
      </w:pPr>
      <w:r>
        <w:t>The Sibson Consulting document (see appendix iv) as prescribed by the Georgia College Senior Leadership team provides a philosophy for motivating the Faculty Compensation Study.</w:t>
      </w:r>
    </w:p>
    <w:p w:rsidR="00094A60" w:rsidRDefault="00094A60">
      <w:pPr>
        <w:pStyle w:val="BodyText"/>
      </w:pPr>
    </w:p>
    <w:p w:rsidR="00094A60" w:rsidRDefault="000C5E77">
      <w:pPr>
        <w:pStyle w:val="Heading1"/>
        <w:numPr>
          <w:ilvl w:val="0"/>
          <w:numId w:val="2"/>
        </w:numPr>
        <w:tabs>
          <w:tab w:val="left" w:pos="839"/>
        </w:tabs>
        <w:spacing w:before="176"/>
        <w:ind w:left="838" w:hanging="720"/>
        <w:jc w:val="left"/>
      </w:pPr>
      <w:bookmarkStart w:id="14" w:name="_TOC_250006"/>
      <w:bookmarkEnd w:id="14"/>
      <w:r>
        <w:t>Recommendations</w:t>
      </w:r>
    </w:p>
    <w:p w:rsidR="00094A60" w:rsidRDefault="000C5E77">
      <w:pPr>
        <w:pStyle w:val="BodyText"/>
        <w:spacing w:before="178" w:line="256" w:lineRule="auto"/>
        <w:ind w:left="478" w:right="343"/>
      </w:pPr>
      <w:r>
        <w:t>In considering how a study such as this should be used, the committee ultimately adopted the following principles.</w:t>
      </w:r>
    </w:p>
    <w:p w:rsidR="00094A60" w:rsidRDefault="000C5E77">
      <w:pPr>
        <w:pStyle w:val="Heading1"/>
        <w:numPr>
          <w:ilvl w:val="1"/>
          <w:numId w:val="2"/>
        </w:numPr>
        <w:tabs>
          <w:tab w:val="left" w:pos="1199"/>
        </w:tabs>
        <w:spacing w:before="156"/>
        <w:ind w:left="1198" w:hanging="360"/>
        <w:jc w:val="left"/>
      </w:pPr>
      <w:bookmarkStart w:id="15" w:name="_TOC_250005"/>
      <w:r>
        <w:t>Who Decides Who is Deserving of Salary</w:t>
      </w:r>
      <w:r>
        <w:rPr>
          <w:spacing w:val="-17"/>
        </w:rPr>
        <w:t xml:space="preserve"> </w:t>
      </w:r>
      <w:bookmarkEnd w:id="15"/>
      <w:r>
        <w:t>Adjustments</w:t>
      </w:r>
    </w:p>
    <w:p w:rsidR="00094A60" w:rsidRDefault="000C5E77">
      <w:pPr>
        <w:pStyle w:val="BodyText"/>
        <w:spacing w:before="178" w:line="256" w:lineRule="auto"/>
        <w:ind w:left="478" w:right="119"/>
        <w:jc w:val="both"/>
      </w:pPr>
      <w:r>
        <w:t>One</w:t>
      </w:r>
      <w:r>
        <w:rPr>
          <w:spacing w:val="-6"/>
        </w:rPr>
        <w:t xml:space="preserve"> </w:t>
      </w:r>
      <w:r>
        <w:t>of</w:t>
      </w:r>
      <w:r>
        <w:rPr>
          <w:spacing w:val="-7"/>
        </w:rPr>
        <w:t xml:space="preserve"> </w:t>
      </w:r>
      <w:r>
        <w:t>the</w:t>
      </w:r>
      <w:r>
        <w:rPr>
          <w:spacing w:val="-8"/>
        </w:rPr>
        <w:t xml:space="preserve"> </w:t>
      </w:r>
      <w:r>
        <w:t>most</w:t>
      </w:r>
      <w:r>
        <w:rPr>
          <w:spacing w:val="-6"/>
        </w:rPr>
        <w:t xml:space="preserve"> </w:t>
      </w:r>
      <w:r>
        <w:t>important</w:t>
      </w:r>
      <w:r>
        <w:rPr>
          <w:spacing w:val="-9"/>
        </w:rPr>
        <w:t xml:space="preserve"> </w:t>
      </w:r>
      <w:r>
        <w:t>considerations</w:t>
      </w:r>
      <w:r>
        <w:rPr>
          <w:spacing w:val="-7"/>
        </w:rPr>
        <w:t xml:space="preserve"> </w:t>
      </w:r>
      <w:r>
        <w:t>was</w:t>
      </w:r>
      <w:r>
        <w:rPr>
          <w:spacing w:val="-7"/>
        </w:rPr>
        <w:t xml:space="preserve"> </w:t>
      </w:r>
      <w:r>
        <w:t>the</w:t>
      </w:r>
      <w:r>
        <w:rPr>
          <w:spacing w:val="-6"/>
        </w:rPr>
        <w:t xml:space="preserve"> </w:t>
      </w:r>
      <w:r>
        <w:t>issue</w:t>
      </w:r>
      <w:r>
        <w:rPr>
          <w:spacing w:val="-6"/>
        </w:rPr>
        <w:t xml:space="preserve"> </w:t>
      </w:r>
      <w:r>
        <w:t>of</w:t>
      </w:r>
      <w:r>
        <w:rPr>
          <w:spacing w:val="-7"/>
        </w:rPr>
        <w:t xml:space="preserve"> </w:t>
      </w:r>
      <w:r>
        <w:t>who</w:t>
      </w:r>
      <w:r>
        <w:rPr>
          <w:spacing w:val="-5"/>
        </w:rPr>
        <w:t xml:space="preserve"> </w:t>
      </w:r>
      <w:r>
        <w:t>would</w:t>
      </w:r>
      <w:r>
        <w:rPr>
          <w:spacing w:val="-8"/>
        </w:rPr>
        <w:t xml:space="preserve"> </w:t>
      </w:r>
      <w:r>
        <w:t>ultimately</w:t>
      </w:r>
      <w:r>
        <w:rPr>
          <w:spacing w:val="-8"/>
        </w:rPr>
        <w:t xml:space="preserve"> </w:t>
      </w:r>
      <w:r>
        <w:t>decide</w:t>
      </w:r>
      <w:r>
        <w:rPr>
          <w:spacing w:val="-4"/>
        </w:rPr>
        <w:t xml:space="preserve"> </w:t>
      </w:r>
      <w:r>
        <w:t>how</w:t>
      </w:r>
      <w:r>
        <w:rPr>
          <w:spacing w:val="-6"/>
        </w:rPr>
        <w:t xml:space="preserve"> </w:t>
      </w:r>
      <w:r>
        <w:t xml:space="preserve">any </w:t>
      </w:r>
      <w:proofErr w:type="gramStart"/>
      <w:r>
        <w:t xml:space="preserve">salary </w:t>
      </w:r>
      <w:r>
        <w:rPr>
          <w:spacing w:val="29"/>
        </w:rPr>
        <w:t xml:space="preserve"> </w:t>
      </w:r>
      <w:r>
        <w:t>adjustments</w:t>
      </w:r>
      <w:proofErr w:type="gramEnd"/>
      <w:r>
        <w:t xml:space="preserve"> </w:t>
      </w:r>
      <w:r>
        <w:rPr>
          <w:spacing w:val="26"/>
        </w:rPr>
        <w:t xml:space="preserve"> </w:t>
      </w:r>
      <w:r>
        <w:t xml:space="preserve">that </w:t>
      </w:r>
      <w:r>
        <w:rPr>
          <w:spacing w:val="26"/>
        </w:rPr>
        <w:t xml:space="preserve"> </w:t>
      </w:r>
      <w:r>
        <w:t xml:space="preserve">result </w:t>
      </w:r>
      <w:r>
        <w:rPr>
          <w:spacing w:val="28"/>
        </w:rPr>
        <w:t xml:space="preserve"> </w:t>
      </w:r>
      <w:r>
        <w:t xml:space="preserve">from </w:t>
      </w:r>
      <w:r>
        <w:rPr>
          <w:spacing w:val="29"/>
        </w:rPr>
        <w:t xml:space="preserve"> </w:t>
      </w:r>
      <w:r>
        <w:t xml:space="preserve">this </w:t>
      </w:r>
      <w:r>
        <w:rPr>
          <w:spacing w:val="28"/>
        </w:rPr>
        <w:t xml:space="preserve"> </w:t>
      </w:r>
      <w:r>
        <w:t xml:space="preserve">study </w:t>
      </w:r>
      <w:r>
        <w:rPr>
          <w:spacing w:val="29"/>
        </w:rPr>
        <w:t xml:space="preserve"> </w:t>
      </w:r>
      <w:r>
        <w:t xml:space="preserve">should </w:t>
      </w:r>
      <w:r>
        <w:rPr>
          <w:spacing w:val="27"/>
        </w:rPr>
        <w:t xml:space="preserve"> </w:t>
      </w:r>
      <w:r>
        <w:t xml:space="preserve">be </w:t>
      </w:r>
      <w:r>
        <w:rPr>
          <w:spacing w:val="28"/>
        </w:rPr>
        <w:t xml:space="preserve"> </w:t>
      </w:r>
      <w:r>
        <w:t xml:space="preserve">distributed. </w:t>
      </w:r>
      <w:r>
        <w:rPr>
          <w:spacing w:val="27"/>
        </w:rPr>
        <w:t xml:space="preserve"> </w:t>
      </w:r>
      <w:proofErr w:type="gramStart"/>
      <w:r>
        <w:t xml:space="preserve">While </w:t>
      </w:r>
      <w:r>
        <w:rPr>
          <w:spacing w:val="28"/>
        </w:rPr>
        <w:t xml:space="preserve"> </w:t>
      </w:r>
      <w:r>
        <w:t>we</w:t>
      </w:r>
      <w:proofErr w:type="gramEnd"/>
      <w:r>
        <w:t xml:space="preserve"> </w:t>
      </w:r>
      <w:r>
        <w:rPr>
          <w:spacing w:val="28"/>
        </w:rPr>
        <w:t xml:space="preserve"> </w:t>
      </w:r>
      <w:r>
        <w:t xml:space="preserve">have </w:t>
      </w:r>
      <w:r>
        <w:rPr>
          <w:spacing w:val="28"/>
        </w:rPr>
        <w:t xml:space="preserve"> </w:t>
      </w:r>
      <w:r>
        <w:t>a</w:t>
      </w:r>
    </w:p>
    <w:p w:rsidR="00094A60" w:rsidRDefault="00094A60">
      <w:pPr>
        <w:spacing w:line="256" w:lineRule="auto"/>
        <w:jc w:val="both"/>
        <w:sectPr w:rsidR="00094A60">
          <w:pgSz w:w="12240" w:h="15840"/>
          <w:pgMar w:top="1400" w:right="1320" w:bottom="1200" w:left="1680" w:header="0" w:footer="1017" w:gutter="0"/>
          <w:cols w:space="720"/>
        </w:sectPr>
      </w:pPr>
    </w:p>
    <w:p w:rsidR="00094A60" w:rsidRDefault="000C5E77">
      <w:pPr>
        <w:pStyle w:val="BodyText"/>
        <w:spacing w:before="37" w:line="256" w:lineRule="auto"/>
        <w:ind w:left="439" w:right="114"/>
        <w:jc w:val="both"/>
      </w:pPr>
      <w:r>
        <w:lastRenderedPageBreak/>
        <w:t>recommendation as to which CIP codes should be addressed first, it is ultimately the job of department chairs and deans to decide which individual faculty members have demonstrated sufficient meritorious achievement to warrant adjustments to their salary. Of course, any faculty member</w:t>
      </w:r>
      <w:r>
        <w:rPr>
          <w:spacing w:val="-6"/>
        </w:rPr>
        <w:t xml:space="preserve"> </w:t>
      </w:r>
      <w:r>
        <w:t>who</w:t>
      </w:r>
      <w:r>
        <w:rPr>
          <w:spacing w:val="-2"/>
        </w:rPr>
        <w:t xml:space="preserve"> </w:t>
      </w:r>
      <w:r>
        <w:t>has</w:t>
      </w:r>
      <w:r>
        <w:rPr>
          <w:spacing w:val="-3"/>
        </w:rPr>
        <w:t xml:space="preserve"> </w:t>
      </w:r>
      <w:r>
        <w:t>been</w:t>
      </w:r>
      <w:r>
        <w:rPr>
          <w:spacing w:val="-4"/>
        </w:rPr>
        <w:t xml:space="preserve"> </w:t>
      </w:r>
      <w:r>
        <w:t>consistently</w:t>
      </w:r>
      <w:r>
        <w:rPr>
          <w:spacing w:val="-2"/>
        </w:rPr>
        <w:t xml:space="preserve"> </w:t>
      </w:r>
      <w:r>
        <w:t>rated</w:t>
      </w:r>
      <w:r>
        <w:rPr>
          <w:spacing w:val="-4"/>
        </w:rPr>
        <w:t xml:space="preserve"> </w:t>
      </w:r>
      <w:r>
        <w:t>as</w:t>
      </w:r>
      <w:r>
        <w:rPr>
          <w:spacing w:val="-6"/>
        </w:rPr>
        <w:t xml:space="preserve"> </w:t>
      </w:r>
      <w:r>
        <w:t>meeting</w:t>
      </w:r>
      <w:r>
        <w:rPr>
          <w:spacing w:val="-4"/>
        </w:rPr>
        <w:t xml:space="preserve"> </w:t>
      </w:r>
      <w:r>
        <w:t>or</w:t>
      </w:r>
      <w:r>
        <w:rPr>
          <w:spacing w:val="-3"/>
        </w:rPr>
        <w:t xml:space="preserve"> </w:t>
      </w:r>
      <w:r>
        <w:t>exceeding</w:t>
      </w:r>
      <w:r>
        <w:rPr>
          <w:spacing w:val="-4"/>
        </w:rPr>
        <w:t xml:space="preserve"> </w:t>
      </w:r>
      <w:r>
        <w:t>expectations</w:t>
      </w:r>
      <w:r>
        <w:rPr>
          <w:spacing w:val="-6"/>
        </w:rPr>
        <w:t xml:space="preserve"> </w:t>
      </w:r>
      <w:r>
        <w:t>should</w:t>
      </w:r>
      <w:r>
        <w:rPr>
          <w:spacing w:val="-4"/>
        </w:rPr>
        <w:t xml:space="preserve"> </w:t>
      </w:r>
      <w:r>
        <w:t>expect</w:t>
      </w:r>
      <w:r>
        <w:rPr>
          <w:spacing w:val="-3"/>
        </w:rPr>
        <w:t xml:space="preserve"> </w:t>
      </w:r>
      <w:r>
        <w:t>to be rewarded as</w:t>
      </w:r>
      <w:r>
        <w:rPr>
          <w:spacing w:val="-6"/>
        </w:rPr>
        <w:t xml:space="preserve"> </w:t>
      </w:r>
      <w:r>
        <w:t>such.</w:t>
      </w:r>
    </w:p>
    <w:p w:rsidR="00094A60" w:rsidRDefault="000C5E77">
      <w:pPr>
        <w:pStyle w:val="Heading1"/>
        <w:numPr>
          <w:ilvl w:val="1"/>
          <w:numId w:val="2"/>
        </w:numPr>
        <w:tabs>
          <w:tab w:val="left" w:pos="1160"/>
        </w:tabs>
        <w:spacing w:before="161"/>
        <w:ind w:left="1160" w:hanging="360"/>
        <w:jc w:val="left"/>
      </w:pPr>
      <w:bookmarkStart w:id="16" w:name="_TOC_250004"/>
      <w:r>
        <w:t>First</w:t>
      </w:r>
      <w:r>
        <w:rPr>
          <w:spacing w:val="-3"/>
        </w:rPr>
        <w:t xml:space="preserve"> </w:t>
      </w:r>
      <w:bookmarkEnd w:id="16"/>
      <w:r>
        <w:t>Goal</w:t>
      </w:r>
    </w:p>
    <w:p w:rsidR="00094A60" w:rsidRDefault="000C5E77">
      <w:pPr>
        <w:pStyle w:val="BodyText"/>
        <w:spacing w:before="178" w:line="256" w:lineRule="auto"/>
        <w:ind w:left="440" w:right="114" w:hanging="1"/>
        <w:jc w:val="both"/>
      </w:pPr>
      <w:r>
        <w:t>While ultimately adjusting salaries is contingent upon adequate funding, the first priority of any adjustments should be to bring median salaries in each CIP code for each rank up to their operational minimum which is the first quartile level (or the lower end of the box in the box and whiskers plots).</w:t>
      </w:r>
    </w:p>
    <w:p w:rsidR="00094A60" w:rsidRDefault="00094A60">
      <w:pPr>
        <w:pStyle w:val="BodyText"/>
      </w:pPr>
    </w:p>
    <w:p w:rsidR="00094A60" w:rsidRDefault="000C5E77">
      <w:pPr>
        <w:pStyle w:val="Heading1"/>
        <w:numPr>
          <w:ilvl w:val="1"/>
          <w:numId w:val="2"/>
        </w:numPr>
        <w:tabs>
          <w:tab w:val="left" w:pos="1161"/>
        </w:tabs>
        <w:spacing w:before="181"/>
        <w:ind w:left="1160" w:hanging="360"/>
        <w:jc w:val="left"/>
      </w:pPr>
      <w:bookmarkStart w:id="17" w:name="_TOC_250003"/>
      <w:r>
        <w:t>Long-term</w:t>
      </w:r>
      <w:r>
        <w:rPr>
          <w:spacing w:val="-4"/>
        </w:rPr>
        <w:t xml:space="preserve"> </w:t>
      </w:r>
      <w:bookmarkEnd w:id="17"/>
      <w:r>
        <w:t>Goal</w:t>
      </w:r>
    </w:p>
    <w:p w:rsidR="00094A60" w:rsidRDefault="000C5E77">
      <w:pPr>
        <w:pStyle w:val="BodyText"/>
        <w:spacing w:before="178" w:line="256" w:lineRule="auto"/>
        <w:ind w:left="439" w:right="115"/>
        <w:jc w:val="both"/>
      </w:pPr>
      <w:r>
        <w:t>Ultimately, if we are to be a preeminent institution, our salaries ought to reflect our ability to attract faculty members who are also preeminent in their chosen fields. This would require, among</w:t>
      </w:r>
      <w:r>
        <w:rPr>
          <w:spacing w:val="-3"/>
        </w:rPr>
        <w:t xml:space="preserve"> </w:t>
      </w:r>
      <w:r>
        <w:t>other</w:t>
      </w:r>
      <w:r>
        <w:rPr>
          <w:spacing w:val="-4"/>
        </w:rPr>
        <w:t xml:space="preserve"> </w:t>
      </w:r>
      <w:r>
        <w:t>things,</w:t>
      </w:r>
      <w:r>
        <w:rPr>
          <w:spacing w:val="-2"/>
        </w:rPr>
        <w:t xml:space="preserve"> </w:t>
      </w:r>
      <w:r>
        <w:t>that</w:t>
      </w:r>
      <w:r>
        <w:rPr>
          <w:spacing w:val="-4"/>
        </w:rPr>
        <w:t xml:space="preserve"> </w:t>
      </w:r>
      <w:r>
        <w:t>we</w:t>
      </w:r>
      <w:r>
        <w:rPr>
          <w:spacing w:val="-1"/>
        </w:rPr>
        <w:t xml:space="preserve"> </w:t>
      </w:r>
      <w:r>
        <w:t>offer</w:t>
      </w:r>
      <w:r>
        <w:rPr>
          <w:spacing w:val="-4"/>
        </w:rPr>
        <w:t xml:space="preserve"> </w:t>
      </w:r>
      <w:r>
        <w:t>salaries</w:t>
      </w:r>
      <w:r>
        <w:rPr>
          <w:spacing w:val="-4"/>
        </w:rPr>
        <w:t xml:space="preserve"> </w:t>
      </w:r>
      <w:r>
        <w:t>that</w:t>
      </w:r>
      <w:r>
        <w:rPr>
          <w:spacing w:val="-4"/>
        </w:rPr>
        <w:t xml:space="preserve"> </w:t>
      </w:r>
      <w:r>
        <w:t>are</w:t>
      </w:r>
      <w:r>
        <w:rPr>
          <w:spacing w:val="-4"/>
        </w:rPr>
        <w:t xml:space="preserve"> </w:t>
      </w:r>
      <w:r>
        <w:t>competitive.</w:t>
      </w:r>
      <w:r>
        <w:rPr>
          <w:spacing w:val="-4"/>
        </w:rPr>
        <w:t xml:space="preserve"> </w:t>
      </w:r>
      <w:r>
        <w:t>In</w:t>
      </w:r>
      <w:r>
        <w:rPr>
          <w:spacing w:val="-3"/>
        </w:rPr>
        <w:t xml:space="preserve"> </w:t>
      </w:r>
      <w:r>
        <w:t>this</w:t>
      </w:r>
      <w:r>
        <w:rPr>
          <w:spacing w:val="-4"/>
        </w:rPr>
        <w:t xml:space="preserve"> </w:t>
      </w:r>
      <w:r>
        <w:t>light,</w:t>
      </w:r>
      <w:r>
        <w:rPr>
          <w:spacing w:val="-4"/>
        </w:rPr>
        <w:t xml:space="preserve"> </w:t>
      </w:r>
      <w:r>
        <w:t>we</w:t>
      </w:r>
      <w:r>
        <w:rPr>
          <w:spacing w:val="-1"/>
        </w:rPr>
        <w:t xml:space="preserve"> </w:t>
      </w:r>
      <w:r>
        <w:t>recommend</w:t>
      </w:r>
      <w:r>
        <w:rPr>
          <w:spacing w:val="-5"/>
        </w:rPr>
        <w:t xml:space="preserve"> </w:t>
      </w:r>
      <w:r>
        <w:t>that over</w:t>
      </w:r>
      <w:r>
        <w:rPr>
          <w:spacing w:val="-6"/>
        </w:rPr>
        <w:t xml:space="preserve"> </w:t>
      </w:r>
      <w:r>
        <w:t>time</w:t>
      </w:r>
      <w:r>
        <w:rPr>
          <w:spacing w:val="-7"/>
        </w:rPr>
        <w:t xml:space="preserve"> </w:t>
      </w:r>
      <w:r>
        <w:t>every</w:t>
      </w:r>
      <w:r>
        <w:rPr>
          <w:spacing w:val="-7"/>
        </w:rPr>
        <w:t xml:space="preserve"> </w:t>
      </w:r>
      <w:r>
        <w:t>attempt</w:t>
      </w:r>
      <w:r>
        <w:rPr>
          <w:spacing w:val="-5"/>
        </w:rPr>
        <w:t xml:space="preserve"> </w:t>
      </w:r>
      <w:r>
        <w:t>be</w:t>
      </w:r>
      <w:r>
        <w:rPr>
          <w:spacing w:val="-7"/>
        </w:rPr>
        <w:t xml:space="preserve"> </w:t>
      </w:r>
      <w:r>
        <w:t>made</w:t>
      </w:r>
      <w:r>
        <w:rPr>
          <w:spacing w:val="-7"/>
        </w:rPr>
        <w:t xml:space="preserve"> </w:t>
      </w:r>
      <w:r>
        <w:t>to</w:t>
      </w:r>
      <w:r>
        <w:rPr>
          <w:spacing w:val="-7"/>
        </w:rPr>
        <w:t xml:space="preserve"> </w:t>
      </w:r>
      <w:r>
        <w:t>get</w:t>
      </w:r>
      <w:r>
        <w:rPr>
          <w:spacing w:val="-8"/>
        </w:rPr>
        <w:t xml:space="preserve"> </w:t>
      </w:r>
      <w:r>
        <w:t>the</w:t>
      </w:r>
      <w:r>
        <w:rPr>
          <w:spacing w:val="-5"/>
        </w:rPr>
        <w:t xml:space="preserve"> </w:t>
      </w:r>
      <w:r>
        <w:t>Georgia</w:t>
      </w:r>
      <w:r>
        <w:rPr>
          <w:spacing w:val="-8"/>
        </w:rPr>
        <w:t xml:space="preserve"> </w:t>
      </w:r>
      <w:r>
        <w:t>College</w:t>
      </w:r>
      <w:r>
        <w:rPr>
          <w:spacing w:val="-7"/>
        </w:rPr>
        <w:t xml:space="preserve"> </w:t>
      </w:r>
      <w:r>
        <w:t>median</w:t>
      </w:r>
      <w:r>
        <w:rPr>
          <w:spacing w:val="-6"/>
        </w:rPr>
        <w:t xml:space="preserve"> </w:t>
      </w:r>
      <w:r>
        <w:t>salary</w:t>
      </w:r>
      <w:r>
        <w:rPr>
          <w:spacing w:val="-7"/>
        </w:rPr>
        <w:t xml:space="preserve"> </w:t>
      </w:r>
      <w:r>
        <w:t>to</w:t>
      </w:r>
      <w:r>
        <w:rPr>
          <w:spacing w:val="-7"/>
        </w:rPr>
        <w:t xml:space="preserve"> </w:t>
      </w:r>
      <w:r>
        <w:t>meet</w:t>
      </w:r>
      <w:r>
        <w:rPr>
          <w:spacing w:val="-8"/>
        </w:rPr>
        <w:t xml:space="preserve"> </w:t>
      </w:r>
      <w:r>
        <w:t>or</w:t>
      </w:r>
      <w:r>
        <w:rPr>
          <w:spacing w:val="-6"/>
        </w:rPr>
        <w:t xml:space="preserve"> </w:t>
      </w:r>
      <w:r>
        <w:t>exceed</w:t>
      </w:r>
      <w:r>
        <w:rPr>
          <w:spacing w:val="-6"/>
        </w:rPr>
        <w:t xml:space="preserve"> </w:t>
      </w:r>
      <w:r>
        <w:t>the median salaries of comparison</w:t>
      </w:r>
      <w:r>
        <w:rPr>
          <w:spacing w:val="-14"/>
        </w:rPr>
        <w:t xml:space="preserve"> </w:t>
      </w:r>
      <w:r>
        <w:t>schools.</w:t>
      </w:r>
    </w:p>
    <w:p w:rsidR="00094A60" w:rsidRDefault="00094A60">
      <w:pPr>
        <w:pStyle w:val="BodyText"/>
      </w:pPr>
    </w:p>
    <w:p w:rsidR="00094A60" w:rsidRDefault="000C5E77">
      <w:pPr>
        <w:pStyle w:val="Heading1"/>
        <w:numPr>
          <w:ilvl w:val="1"/>
          <w:numId w:val="2"/>
        </w:numPr>
        <w:tabs>
          <w:tab w:val="left" w:pos="1160"/>
        </w:tabs>
        <w:spacing w:before="176"/>
        <w:ind w:left="1160" w:hanging="360"/>
        <w:jc w:val="left"/>
      </w:pPr>
      <w:bookmarkStart w:id="18" w:name="_TOC_250002"/>
      <w:r>
        <w:t>Annual</w:t>
      </w:r>
      <w:r>
        <w:rPr>
          <w:spacing w:val="-4"/>
        </w:rPr>
        <w:t xml:space="preserve"> </w:t>
      </w:r>
      <w:bookmarkEnd w:id="18"/>
      <w:r>
        <w:t>Assessment</w:t>
      </w:r>
    </w:p>
    <w:p w:rsidR="00094A60" w:rsidRDefault="000C5E77">
      <w:pPr>
        <w:pStyle w:val="BodyText"/>
        <w:spacing w:before="178" w:line="256" w:lineRule="auto"/>
        <w:ind w:left="440" w:right="115"/>
        <w:jc w:val="both"/>
      </w:pPr>
      <w:r>
        <w:t>For the purpose of full transparency and to maintain data integrity, it is the advice of this committee that an annual report be provided to the campus that summarizes the progress that has been made (or the reasons progress has not been made) toward the goals suggested here. We suggest that the tables and graphs that accompany this report be replicated each fiscal year going forward. It is the opinion of the committee that now that the templates for these graphs and tables have been created, the effort necessary to replicate them each year is modest. Doing so</w:t>
      </w:r>
      <w:r>
        <w:rPr>
          <w:spacing w:val="-3"/>
        </w:rPr>
        <w:t xml:space="preserve"> </w:t>
      </w:r>
      <w:r>
        <w:t>would</w:t>
      </w:r>
      <w:r>
        <w:rPr>
          <w:spacing w:val="-3"/>
        </w:rPr>
        <w:t xml:space="preserve"> </w:t>
      </w:r>
      <w:r>
        <w:t>allow</w:t>
      </w:r>
      <w:r>
        <w:rPr>
          <w:spacing w:val="-3"/>
        </w:rPr>
        <w:t xml:space="preserve"> </w:t>
      </w:r>
      <w:r>
        <w:t>for</w:t>
      </w:r>
      <w:r>
        <w:rPr>
          <w:spacing w:val="-6"/>
        </w:rPr>
        <w:t xml:space="preserve"> </w:t>
      </w:r>
      <w:r>
        <w:t>ongoing</w:t>
      </w:r>
      <w:r>
        <w:rPr>
          <w:spacing w:val="-4"/>
        </w:rPr>
        <w:t xml:space="preserve"> </w:t>
      </w:r>
      <w:r>
        <w:t>assessment</w:t>
      </w:r>
      <w:r>
        <w:rPr>
          <w:spacing w:val="-3"/>
        </w:rPr>
        <w:t xml:space="preserve"> </w:t>
      </w:r>
      <w:r>
        <w:t>of</w:t>
      </w:r>
      <w:r>
        <w:rPr>
          <w:spacing w:val="-3"/>
        </w:rPr>
        <w:t xml:space="preserve"> </w:t>
      </w:r>
      <w:r>
        <w:t>the</w:t>
      </w:r>
      <w:r>
        <w:rPr>
          <w:spacing w:val="-3"/>
        </w:rPr>
        <w:t xml:space="preserve"> </w:t>
      </w:r>
      <w:r>
        <w:t>state</w:t>
      </w:r>
      <w:r>
        <w:rPr>
          <w:spacing w:val="-5"/>
        </w:rPr>
        <w:t xml:space="preserve"> </w:t>
      </w:r>
      <w:r>
        <w:t>of</w:t>
      </w:r>
      <w:r>
        <w:rPr>
          <w:spacing w:val="-4"/>
        </w:rPr>
        <w:t xml:space="preserve"> </w:t>
      </w:r>
      <w:r>
        <w:t>salaries</w:t>
      </w:r>
      <w:r>
        <w:rPr>
          <w:spacing w:val="-3"/>
        </w:rPr>
        <w:t xml:space="preserve"> </w:t>
      </w:r>
      <w:r>
        <w:t>across</w:t>
      </w:r>
      <w:r>
        <w:rPr>
          <w:spacing w:val="-2"/>
        </w:rPr>
        <w:t xml:space="preserve"> </w:t>
      </w:r>
      <w:r>
        <w:t>academic</w:t>
      </w:r>
      <w:r>
        <w:rPr>
          <w:spacing w:val="-3"/>
        </w:rPr>
        <w:t xml:space="preserve"> </w:t>
      </w:r>
      <w:r>
        <w:t>disciplines</w:t>
      </w:r>
      <w:r>
        <w:rPr>
          <w:spacing w:val="-3"/>
        </w:rPr>
        <w:t xml:space="preserve"> </w:t>
      </w:r>
      <w:r>
        <w:t>which, ultimately, should benefit</w:t>
      </w:r>
      <w:r>
        <w:rPr>
          <w:spacing w:val="-12"/>
        </w:rPr>
        <w:t xml:space="preserve"> </w:t>
      </w:r>
      <w:r>
        <w:t>everyone.</w:t>
      </w:r>
    </w:p>
    <w:p w:rsidR="00094A60" w:rsidRDefault="00094A60">
      <w:pPr>
        <w:pStyle w:val="BodyText"/>
      </w:pPr>
    </w:p>
    <w:p w:rsidR="00094A60" w:rsidRDefault="000C5E77">
      <w:pPr>
        <w:pStyle w:val="Heading1"/>
        <w:numPr>
          <w:ilvl w:val="1"/>
          <w:numId w:val="2"/>
        </w:numPr>
        <w:tabs>
          <w:tab w:val="left" w:pos="1161"/>
        </w:tabs>
        <w:spacing w:before="176"/>
        <w:ind w:left="1160" w:hanging="360"/>
        <w:jc w:val="left"/>
      </w:pPr>
      <w:bookmarkStart w:id="19" w:name="_TOC_250001"/>
      <w:r>
        <w:t>Internal Data</w:t>
      </w:r>
      <w:r>
        <w:rPr>
          <w:spacing w:val="-9"/>
        </w:rPr>
        <w:t xml:space="preserve"> </w:t>
      </w:r>
      <w:bookmarkEnd w:id="19"/>
      <w:r>
        <w:t>Integrity</w:t>
      </w:r>
    </w:p>
    <w:p w:rsidR="00094A60" w:rsidRDefault="000C5E77">
      <w:pPr>
        <w:pStyle w:val="BodyText"/>
        <w:spacing w:before="178" w:line="256" w:lineRule="auto"/>
        <w:ind w:left="440" w:right="114"/>
        <w:jc w:val="both"/>
      </w:pPr>
      <w:r>
        <w:t>As part of the ongoing assessment practice, we recommend an annual assessment of the quality of our data. The committee discovered multiple discrepancies in the reporting of our own data for both internal and external use. The process of updating the tables and graphs presented in this study should provide an opportunity to ensure data integrity.</w:t>
      </w:r>
    </w:p>
    <w:p w:rsidR="00094A60" w:rsidRDefault="00094A60">
      <w:pPr>
        <w:pStyle w:val="BodyText"/>
      </w:pPr>
    </w:p>
    <w:p w:rsidR="00094A60" w:rsidRDefault="000C5E77">
      <w:pPr>
        <w:pStyle w:val="Heading1"/>
        <w:numPr>
          <w:ilvl w:val="1"/>
          <w:numId w:val="2"/>
        </w:numPr>
        <w:tabs>
          <w:tab w:val="left" w:pos="1161"/>
        </w:tabs>
        <w:spacing w:before="178"/>
        <w:ind w:left="1160" w:hanging="360"/>
        <w:jc w:val="left"/>
      </w:pPr>
      <w:bookmarkStart w:id="20" w:name="_TOC_250000"/>
      <w:r>
        <w:t>Consistency of</w:t>
      </w:r>
      <w:r>
        <w:rPr>
          <w:spacing w:val="-8"/>
        </w:rPr>
        <w:t xml:space="preserve"> </w:t>
      </w:r>
      <w:bookmarkEnd w:id="20"/>
      <w:r>
        <w:t>Transition</w:t>
      </w:r>
    </w:p>
    <w:p w:rsidR="00094A60" w:rsidRDefault="000C5E77">
      <w:pPr>
        <w:pStyle w:val="BodyText"/>
        <w:spacing w:before="178" w:line="256" w:lineRule="auto"/>
        <w:ind w:left="440" w:right="113"/>
        <w:jc w:val="both"/>
      </w:pPr>
      <w:r>
        <w:t>One challenge encountered in putting together this report was determining which faculty members were currently on a 10-month appointment and which were on a 12-month appointment. The ability to treat all faculty in a consistent manner as they transition into or out of administrative roles is important to the long-term integrity of any salary study. Therefore, we</w:t>
      </w:r>
    </w:p>
    <w:p w:rsidR="00094A60" w:rsidRDefault="00094A60">
      <w:pPr>
        <w:spacing w:line="256" w:lineRule="auto"/>
        <w:jc w:val="both"/>
        <w:sectPr w:rsidR="00094A60">
          <w:pgSz w:w="12240" w:h="15840"/>
          <w:pgMar w:top="1400" w:right="1320" w:bottom="1200" w:left="1720" w:header="0" w:footer="1017" w:gutter="0"/>
          <w:cols w:space="720"/>
        </w:sectPr>
      </w:pPr>
    </w:p>
    <w:p w:rsidR="00094A60" w:rsidRDefault="000C5E77" w:rsidP="00A23B27">
      <w:pPr>
        <w:pStyle w:val="BodyText"/>
        <w:spacing w:before="39" w:line="256" w:lineRule="auto"/>
        <w:ind w:left="439" w:right="113"/>
        <w:sectPr w:rsidR="00094A60">
          <w:pgSz w:w="12240" w:h="15840"/>
          <w:pgMar w:top="1400" w:right="1320" w:bottom="1200" w:left="1720" w:header="0" w:footer="1017" w:gutter="0"/>
          <w:cols w:space="720"/>
        </w:sectPr>
      </w:pPr>
      <w:r>
        <w:lastRenderedPageBreak/>
        <w:t>recommend that going forward all transitions either from faculty to administration or from administration to faculty be treated uniformly. Our option is to use the salary conversion policy taken from the Georgia College Policy, Procedures, and Practices Manual (PPPM) (</w:t>
      </w:r>
      <w:hyperlink r:id="rId17">
        <w:r>
          <w:rPr>
            <w:color w:val="0000FF"/>
            <w:u w:val="single" w:color="0000FF"/>
          </w:rPr>
          <w:t>http://gcsu.smartcatalogiq.com/Policy-Manual/Policy-Manual/Academic-</w:t>
        </w:r>
      </w:hyperlink>
      <w:r>
        <w:rPr>
          <w:color w:val="0000FF"/>
          <w:u w:val="single" w:color="0000FF"/>
        </w:rPr>
        <w:t xml:space="preserve"> </w:t>
      </w:r>
      <w:hyperlink r:id="rId18">
        <w:r>
          <w:rPr>
            <w:color w:val="0000FF"/>
            <w:u w:val="single" w:color="0000FF"/>
          </w:rPr>
          <w:t>Affairs/EmploymentPolicies-Procedures-Benefits/Faculty-Appointments-Qualifications-</w:t>
        </w:r>
      </w:hyperlink>
      <w:r>
        <w:rPr>
          <w:color w:val="0000FF"/>
          <w:u w:val="single" w:color="0000FF"/>
        </w:rPr>
        <w:t xml:space="preserve"> </w:t>
      </w:r>
      <w:hyperlink r:id="rId19">
        <w:r>
          <w:rPr>
            <w:color w:val="0000FF"/>
            <w:u w:val="single" w:color="0000FF"/>
          </w:rPr>
          <w:t>for/Contract-Conversions-Academic-Year-and-Fiscal-Year</w:t>
        </w:r>
      </w:hyperlink>
      <w:r>
        <w:t xml:space="preserve">) of using a 1.2 multiplier to go from a 10-month appointment to a 12-month appointment and dividing by 1.2 to make an adjustment in the other direction. The corresponding USG salary conversion policy and procedures are included in the USG Academic &amp; Student Affairs Handbook which references </w:t>
      </w:r>
      <w:proofErr w:type="spellStart"/>
      <w:r>
        <w:t>BoR</w:t>
      </w:r>
      <w:proofErr w:type="spellEnd"/>
      <w:r>
        <w:t xml:space="preserve"> Policy 8.3.1.2.2 (</w:t>
      </w:r>
      <w:hyperlink r:id="rId20" w:anchor="p4.3.5_salary_conversion_guidelines_for_fiscal_and_academic_year_faculty_app">
        <w:r>
          <w:rPr>
            <w:color w:val="0000FF"/>
            <w:u w:val="single" w:color="0000FF"/>
          </w:rPr>
          <w:t>https://www.usg.edu/academic_affairs_handbook/section4/C682/#p4.3.5_salary_conversion_</w:t>
        </w:r>
      </w:hyperlink>
      <w:r>
        <w:rPr>
          <w:color w:val="0000FF"/>
          <w:u w:val="single" w:color="0000FF"/>
        </w:rPr>
        <w:t xml:space="preserve"> </w:t>
      </w:r>
      <w:hyperlink r:id="rId21" w:anchor="p4.3.5_salary_conversion_guidelines_for_fiscal_and_academic_year_faculty_app">
        <w:proofErr w:type="spellStart"/>
        <w:r>
          <w:rPr>
            <w:color w:val="0000FF"/>
            <w:u w:val="single" w:color="0000FF"/>
          </w:rPr>
          <w:t>guidelines_for_fiscal_and_academic_year_faculty_app</w:t>
        </w:r>
        <w:proofErr w:type="spellEnd"/>
      </w:hyperlink>
    </w:p>
    <w:p w:rsidR="00094A60" w:rsidRDefault="00094A60" w:rsidP="00A23B27">
      <w:pPr>
        <w:pStyle w:val="BodyText"/>
        <w:spacing w:before="39"/>
      </w:pPr>
    </w:p>
    <w:sectPr w:rsidR="00094A60">
      <w:pgSz w:w="12240" w:h="15840"/>
      <w:pgMar w:top="1400" w:right="1420" w:bottom="1200" w:left="166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54F" w:rsidRDefault="0069754F">
      <w:r>
        <w:separator/>
      </w:r>
    </w:p>
  </w:endnote>
  <w:endnote w:type="continuationSeparator" w:id="0">
    <w:p w:rsidR="0069754F" w:rsidRDefault="006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B27" w:rsidRDefault="00A23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B27" w:rsidRDefault="00A23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B27" w:rsidRDefault="00A23B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A60" w:rsidRDefault="00A23B27">
    <w:pPr>
      <w:pStyle w:val="BodyText"/>
      <w:spacing w:line="14" w:lineRule="auto"/>
      <w:rPr>
        <w:sz w:val="20"/>
      </w:rPr>
    </w:pPr>
    <w:r>
      <w:rPr>
        <w:noProof/>
      </w:rPr>
      <mc:AlternateContent>
        <mc:Choice Requires="wps">
          <w:drawing>
            <wp:anchor distT="0" distB="0" distL="114300" distR="114300" simplePos="0" relativeHeight="503309192" behindDoc="1" locked="0" layoutInCell="1" allowOverlap="1">
              <wp:simplePos x="0" y="0"/>
              <wp:positionH relativeFrom="page">
                <wp:posOffset>3856990</wp:posOffset>
              </wp:positionH>
              <wp:positionV relativeFrom="page">
                <wp:posOffset>9272905</wp:posOffset>
              </wp:positionV>
              <wp:extent cx="57785" cy="16573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A60" w:rsidRDefault="000C5E77">
                          <w:pPr>
                            <w:pStyle w:val="BodyText"/>
                            <w:spacing w:line="245" w:lineRule="exact"/>
                            <w:ind w:left="20"/>
                          </w:pPr>
                          <w:proofErr w:type="spellStart"/>
                          <w: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7pt;margin-top:730.15pt;width:4.55pt;height:13.05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7rAIAAKc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" filled="f" stroked="f">
              <v:textbox inset="0,0,0,0">
                <w:txbxContent>
                  <w:p w:rsidR="00094A60" w:rsidRDefault="000C5E77">
                    <w:pPr>
                      <w:pStyle w:val="BodyText"/>
                      <w:spacing w:line="245" w:lineRule="exact"/>
                      <w:ind w:left="20"/>
                    </w:pPr>
                    <w:r>
                      <w:t>i</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A60" w:rsidRDefault="00A23B27">
    <w:pPr>
      <w:pStyle w:val="BodyText"/>
      <w:spacing w:line="14" w:lineRule="auto"/>
      <w:rPr>
        <w:sz w:val="20"/>
      </w:rPr>
    </w:pPr>
    <w:r>
      <w:rPr>
        <w:noProof/>
      </w:rPr>
      <mc:AlternateContent>
        <mc:Choice Requires="wps">
          <w:drawing>
            <wp:anchor distT="0" distB="0" distL="114300" distR="114300" simplePos="0" relativeHeight="503309240" behindDoc="1" locked="0" layoutInCell="1" allowOverlap="1">
              <wp:simplePos x="0" y="0"/>
              <wp:positionH relativeFrom="page">
                <wp:posOffset>3823970</wp:posOffset>
              </wp:positionH>
              <wp:positionV relativeFrom="page">
                <wp:posOffset>9272905</wp:posOffset>
              </wp:positionV>
              <wp:extent cx="123825" cy="165735"/>
              <wp:effectExtent l="444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A60" w:rsidRDefault="000C5E77">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1pt;margin-top:730.15pt;width:9.75pt;height:13.05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rwIAAK8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" filled="f" stroked="f">
              <v:textbox inset="0,0,0,0">
                <w:txbxContent>
                  <w:p w:rsidR="00094A60" w:rsidRDefault="000C5E77">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54F" w:rsidRDefault="0069754F">
      <w:r>
        <w:separator/>
      </w:r>
    </w:p>
  </w:footnote>
  <w:footnote w:type="continuationSeparator" w:id="0">
    <w:p w:rsidR="0069754F" w:rsidRDefault="006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B27" w:rsidRDefault="00A23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B27" w:rsidRDefault="00A23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B27" w:rsidRDefault="00A23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AEE"/>
    <w:multiLevelType w:val="hybridMultilevel"/>
    <w:tmpl w:val="1288363C"/>
    <w:lvl w:ilvl="0" w:tplc="EA86A290">
      <w:start w:val="1"/>
      <w:numFmt w:val="upperRoman"/>
      <w:lvlText w:val="%1."/>
      <w:lvlJc w:val="left"/>
      <w:pPr>
        <w:ind w:left="1000" w:hanging="721"/>
        <w:jc w:val="left"/>
      </w:pPr>
      <w:rPr>
        <w:rFonts w:ascii="Calibri" w:eastAsia="Calibri" w:hAnsi="Calibri" w:cs="Calibri" w:hint="default"/>
        <w:spacing w:val="-1"/>
        <w:w w:val="100"/>
        <w:sz w:val="22"/>
        <w:szCs w:val="22"/>
      </w:rPr>
    </w:lvl>
    <w:lvl w:ilvl="1" w:tplc="1ED891FA">
      <w:start w:val="1"/>
      <w:numFmt w:val="lowerLetter"/>
      <w:lvlText w:val="%2."/>
      <w:lvlJc w:val="left"/>
      <w:pPr>
        <w:ind w:left="1540" w:hanging="360"/>
        <w:jc w:val="left"/>
      </w:pPr>
      <w:rPr>
        <w:rFonts w:ascii="Calibri" w:eastAsia="Calibri" w:hAnsi="Calibri" w:cs="Calibri" w:hint="default"/>
        <w:spacing w:val="-1"/>
        <w:w w:val="100"/>
        <w:sz w:val="22"/>
        <w:szCs w:val="22"/>
      </w:rPr>
    </w:lvl>
    <w:lvl w:ilvl="2" w:tplc="A7AE6038">
      <w:start w:val="1"/>
      <w:numFmt w:val="bullet"/>
      <w:lvlText w:val="•"/>
      <w:lvlJc w:val="left"/>
      <w:pPr>
        <w:ind w:left="2426" w:hanging="360"/>
      </w:pPr>
      <w:rPr>
        <w:rFonts w:hint="default"/>
      </w:rPr>
    </w:lvl>
    <w:lvl w:ilvl="3" w:tplc="CF22FEE8">
      <w:start w:val="1"/>
      <w:numFmt w:val="bullet"/>
      <w:lvlText w:val="•"/>
      <w:lvlJc w:val="left"/>
      <w:pPr>
        <w:ind w:left="3313" w:hanging="360"/>
      </w:pPr>
      <w:rPr>
        <w:rFonts w:hint="default"/>
      </w:rPr>
    </w:lvl>
    <w:lvl w:ilvl="4" w:tplc="B39026E0">
      <w:start w:val="1"/>
      <w:numFmt w:val="bullet"/>
      <w:lvlText w:val="•"/>
      <w:lvlJc w:val="left"/>
      <w:pPr>
        <w:ind w:left="4200" w:hanging="360"/>
      </w:pPr>
      <w:rPr>
        <w:rFonts w:hint="default"/>
      </w:rPr>
    </w:lvl>
    <w:lvl w:ilvl="5" w:tplc="C2DC28D6">
      <w:start w:val="1"/>
      <w:numFmt w:val="bullet"/>
      <w:lvlText w:val="•"/>
      <w:lvlJc w:val="left"/>
      <w:pPr>
        <w:ind w:left="5086" w:hanging="360"/>
      </w:pPr>
      <w:rPr>
        <w:rFonts w:hint="default"/>
      </w:rPr>
    </w:lvl>
    <w:lvl w:ilvl="6" w:tplc="0BF05680">
      <w:start w:val="1"/>
      <w:numFmt w:val="bullet"/>
      <w:lvlText w:val="•"/>
      <w:lvlJc w:val="left"/>
      <w:pPr>
        <w:ind w:left="5973" w:hanging="360"/>
      </w:pPr>
      <w:rPr>
        <w:rFonts w:hint="default"/>
      </w:rPr>
    </w:lvl>
    <w:lvl w:ilvl="7" w:tplc="C3C29794">
      <w:start w:val="1"/>
      <w:numFmt w:val="bullet"/>
      <w:lvlText w:val="•"/>
      <w:lvlJc w:val="left"/>
      <w:pPr>
        <w:ind w:left="6860" w:hanging="360"/>
      </w:pPr>
      <w:rPr>
        <w:rFonts w:hint="default"/>
      </w:rPr>
    </w:lvl>
    <w:lvl w:ilvl="8" w:tplc="71D215CE">
      <w:start w:val="1"/>
      <w:numFmt w:val="bullet"/>
      <w:lvlText w:val="•"/>
      <w:lvlJc w:val="left"/>
      <w:pPr>
        <w:ind w:left="7746" w:hanging="360"/>
      </w:pPr>
      <w:rPr>
        <w:rFonts w:hint="default"/>
      </w:rPr>
    </w:lvl>
  </w:abstractNum>
  <w:abstractNum w:abstractNumId="1" w15:restartNumberingAfterBreak="0">
    <w:nsid w:val="0B4A420D"/>
    <w:multiLevelType w:val="hybridMultilevel"/>
    <w:tmpl w:val="4176BF9A"/>
    <w:lvl w:ilvl="0" w:tplc="27322178">
      <w:start w:val="1"/>
      <w:numFmt w:val="lowerRoman"/>
      <w:lvlText w:val="%1."/>
      <w:lvlJc w:val="left"/>
      <w:pPr>
        <w:ind w:left="1379" w:hanging="286"/>
        <w:jc w:val="left"/>
      </w:pPr>
      <w:rPr>
        <w:rFonts w:ascii="Calibri" w:eastAsia="Calibri" w:hAnsi="Calibri" w:cs="Calibri" w:hint="default"/>
        <w:spacing w:val="-1"/>
        <w:w w:val="100"/>
        <w:sz w:val="22"/>
        <w:szCs w:val="22"/>
      </w:rPr>
    </w:lvl>
    <w:lvl w:ilvl="1" w:tplc="636200A0">
      <w:start w:val="1"/>
      <w:numFmt w:val="bullet"/>
      <w:lvlText w:val="•"/>
      <w:lvlJc w:val="left"/>
      <w:pPr>
        <w:ind w:left="2192" w:hanging="286"/>
      </w:pPr>
      <w:rPr>
        <w:rFonts w:hint="default"/>
      </w:rPr>
    </w:lvl>
    <w:lvl w:ilvl="2" w:tplc="7884CE72">
      <w:start w:val="1"/>
      <w:numFmt w:val="bullet"/>
      <w:lvlText w:val="•"/>
      <w:lvlJc w:val="left"/>
      <w:pPr>
        <w:ind w:left="3004" w:hanging="286"/>
      </w:pPr>
      <w:rPr>
        <w:rFonts w:hint="default"/>
      </w:rPr>
    </w:lvl>
    <w:lvl w:ilvl="3" w:tplc="A4AA98FA">
      <w:start w:val="1"/>
      <w:numFmt w:val="bullet"/>
      <w:lvlText w:val="•"/>
      <w:lvlJc w:val="left"/>
      <w:pPr>
        <w:ind w:left="3816" w:hanging="286"/>
      </w:pPr>
      <w:rPr>
        <w:rFonts w:hint="default"/>
      </w:rPr>
    </w:lvl>
    <w:lvl w:ilvl="4" w:tplc="3E464D64">
      <w:start w:val="1"/>
      <w:numFmt w:val="bullet"/>
      <w:lvlText w:val="•"/>
      <w:lvlJc w:val="left"/>
      <w:pPr>
        <w:ind w:left="4628" w:hanging="286"/>
      </w:pPr>
      <w:rPr>
        <w:rFonts w:hint="default"/>
      </w:rPr>
    </w:lvl>
    <w:lvl w:ilvl="5" w:tplc="4E8A5E22">
      <w:start w:val="1"/>
      <w:numFmt w:val="bullet"/>
      <w:lvlText w:val="•"/>
      <w:lvlJc w:val="left"/>
      <w:pPr>
        <w:ind w:left="5440" w:hanging="286"/>
      </w:pPr>
      <w:rPr>
        <w:rFonts w:hint="default"/>
      </w:rPr>
    </w:lvl>
    <w:lvl w:ilvl="6" w:tplc="959E415C">
      <w:start w:val="1"/>
      <w:numFmt w:val="bullet"/>
      <w:lvlText w:val="•"/>
      <w:lvlJc w:val="left"/>
      <w:pPr>
        <w:ind w:left="6252" w:hanging="286"/>
      </w:pPr>
      <w:rPr>
        <w:rFonts w:hint="default"/>
      </w:rPr>
    </w:lvl>
    <w:lvl w:ilvl="7" w:tplc="BAB8ABE0">
      <w:start w:val="1"/>
      <w:numFmt w:val="bullet"/>
      <w:lvlText w:val="•"/>
      <w:lvlJc w:val="left"/>
      <w:pPr>
        <w:ind w:left="7064" w:hanging="286"/>
      </w:pPr>
      <w:rPr>
        <w:rFonts w:hint="default"/>
      </w:rPr>
    </w:lvl>
    <w:lvl w:ilvl="8" w:tplc="5EF2D520">
      <w:start w:val="1"/>
      <w:numFmt w:val="bullet"/>
      <w:lvlText w:val="•"/>
      <w:lvlJc w:val="left"/>
      <w:pPr>
        <w:ind w:left="7876" w:hanging="286"/>
      </w:pPr>
      <w:rPr>
        <w:rFonts w:hint="default"/>
      </w:rPr>
    </w:lvl>
  </w:abstractNum>
  <w:abstractNum w:abstractNumId="2" w15:restartNumberingAfterBreak="0">
    <w:nsid w:val="5A6A6BF5"/>
    <w:multiLevelType w:val="hybridMultilevel"/>
    <w:tmpl w:val="E18083FC"/>
    <w:lvl w:ilvl="0" w:tplc="F5EE4B1A">
      <w:start w:val="1"/>
      <w:numFmt w:val="lowerRoman"/>
      <w:lvlText w:val="%1."/>
      <w:lvlJc w:val="left"/>
      <w:pPr>
        <w:ind w:left="1360" w:hanging="286"/>
        <w:jc w:val="right"/>
      </w:pPr>
      <w:rPr>
        <w:rFonts w:ascii="Calibri" w:eastAsia="Calibri" w:hAnsi="Calibri" w:cs="Calibri" w:hint="default"/>
        <w:spacing w:val="-1"/>
        <w:w w:val="100"/>
        <w:sz w:val="22"/>
        <w:szCs w:val="22"/>
      </w:rPr>
    </w:lvl>
    <w:lvl w:ilvl="1" w:tplc="7BF276FC">
      <w:start w:val="1"/>
      <w:numFmt w:val="bullet"/>
      <w:lvlText w:val="•"/>
      <w:lvlJc w:val="left"/>
      <w:pPr>
        <w:ind w:left="2176" w:hanging="286"/>
      </w:pPr>
      <w:rPr>
        <w:rFonts w:hint="default"/>
      </w:rPr>
    </w:lvl>
    <w:lvl w:ilvl="2" w:tplc="0F908DB6">
      <w:start w:val="1"/>
      <w:numFmt w:val="bullet"/>
      <w:lvlText w:val="•"/>
      <w:lvlJc w:val="left"/>
      <w:pPr>
        <w:ind w:left="2992" w:hanging="286"/>
      </w:pPr>
      <w:rPr>
        <w:rFonts w:hint="default"/>
      </w:rPr>
    </w:lvl>
    <w:lvl w:ilvl="3" w:tplc="0A38797E">
      <w:start w:val="1"/>
      <w:numFmt w:val="bullet"/>
      <w:lvlText w:val="•"/>
      <w:lvlJc w:val="left"/>
      <w:pPr>
        <w:ind w:left="3808" w:hanging="286"/>
      </w:pPr>
      <w:rPr>
        <w:rFonts w:hint="default"/>
      </w:rPr>
    </w:lvl>
    <w:lvl w:ilvl="4" w:tplc="79146D98">
      <w:start w:val="1"/>
      <w:numFmt w:val="bullet"/>
      <w:lvlText w:val="•"/>
      <w:lvlJc w:val="left"/>
      <w:pPr>
        <w:ind w:left="4624" w:hanging="286"/>
      </w:pPr>
      <w:rPr>
        <w:rFonts w:hint="default"/>
      </w:rPr>
    </w:lvl>
    <w:lvl w:ilvl="5" w:tplc="D4DEE976">
      <w:start w:val="1"/>
      <w:numFmt w:val="bullet"/>
      <w:lvlText w:val="•"/>
      <w:lvlJc w:val="left"/>
      <w:pPr>
        <w:ind w:left="5440" w:hanging="286"/>
      </w:pPr>
      <w:rPr>
        <w:rFonts w:hint="default"/>
      </w:rPr>
    </w:lvl>
    <w:lvl w:ilvl="6" w:tplc="F4E44EC4">
      <w:start w:val="1"/>
      <w:numFmt w:val="bullet"/>
      <w:lvlText w:val="•"/>
      <w:lvlJc w:val="left"/>
      <w:pPr>
        <w:ind w:left="6256" w:hanging="286"/>
      </w:pPr>
      <w:rPr>
        <w:rFonts w:hint="default"/>
      </w:rPr>
    </w:lvl>
    <w:lvl w:ilvl="7" w:tplc="49AE102A">
      <w:start w:val="1"/>
      <w:numFmt w:val="bullet"/>
      <w:lvlText w:val="•"/>
      <w:lvlJc w:val="left"/>
      <w:pPr>
        <w:ind w:left="7072" w:hanging="286"/>
      </w:pPr>
      <w:rPr>
        <w:rFonts w:hint="default"/>
      </w:rPr>
    </w:lvl>
    <w:lvl w:ilvl="8" w:tplc="6CD45A0C">
      <w:start w:val="1"/>
      <w:numFmt w:val="bullet"/>
      <w:lvlText w:val="•"/>
      <w:lvlJc w:val="left"/>
      <w:pPr>
        <w:ind w:left="7888" w:hanging="286"/>
      </w:pPr>
      <w:rPr>
        <w:rFonts w:hint="default"/>
      </w:rPr>
    </w:lvl>
  </w:abstractNum>
  <w:abstractNum w:abstractNumId="3" w15:restartNumberingAfterBreak="0">
    <w:nsid w:val="68637D0B"/>
    <w:multiLevelType w:val="hybridMultilevel"/>
    <w:tmpl w:val="DBE47DD0"/>
    <w:lvl w:ilvl="0" w:tplc="2E18B0F6">
      <w:start w:val="1"/>
      <w:numFmt w:val="upperRoman"/>
      <w:lvlText w:val="%1."/>
      <w:lvlJc w:val="left"/>
      <w:pPr>
        <w:ind w:left="1199" w:hanging="721"/>
        <w:jc w:val="right"/>
      </w:pPr>
      <w:rPr>
        <w:rFonts w:ascii="Calibri" w:eastAsia="Calibri" w:hAnsi="Calibri" w:cs="Calibri" w:hint="default"/>
        <w:b/>
        <w:bCs/>
        <w:spacing w:val="0"/>
        <w:w w:val="100"/>
        <w:sz w:val="22"/>
        <w:szCs w:val="22"/>
      </w:rPr>
    </w:lvl>
    <w:lvl w:ilvl="1" w:tplc="6D24598C">
      <w:start w:val="1"/>
      <w:numFmt w:val="lowerLetter"/>
      <w:lvlText w:val="%2."/>
      <w:lvlJc w:val="left"/>
      <w:pPr>
        <w:ind w:left="1200" w:hanging="361"/>
        <w:jc w:val="right"/>
      </w:pPr>
      <w:rPr>
        <w:rFonts w:ascii="Calibri" w:eastAsia="Calibri" w:hAnsi="Calibri" w:cs="Calibri" w:hint="default"/>
        <w:b/>
        <w:bCs/>
        <w:spacing w:val="-1"/>
        <w:w w:val="100"/>
        <w:sz w:val="22"/>
        <w:szCs w:val="22"/>
      </w:rPr>
    </w:lvl>
    <w:lvl w:ilvl="2" w:tplc="E2C05FDE">
      <w:start w:val="1"/>
      <w:numFmt w:val="lowerRoman"/>
      <w:lvlText w:val="%3."/>
      <w:lvlJc w:val="left"/>
      <w:pPr>
        <w:ind w:left="1919" w:hanging="360"/>
        <w:jc w:val="left"/>
      </w:pPr>
      <w:rPr>
        <w:rFonts w:ascii="Calibri" w:eastAsia="Calibri" w:hAnsi="Calibri" w:cs="Calibri" w:hint="default"/>
        <w:spacing w:val="-1"/>
        <w:w w:val="100"/>
        <w:sz w:val="22"/>
        <w:szCs w:val="22"/>
      </w:rPr>
    </w:lvl>
    <w:lvl w:ilvl="3" w:tplc="619633A0">
      <w:start w:val="1"/>
      <w:numFmt w:val="bullet"/>
      <w:lvlText w:val="•"/>
      <w:lvlJc w:val="left"/>
      <w:pPr>
        <w:ind w:left="3546" w:hanging="360"/>
      </w:pPr>
      <w:rPr>
        <w:rFonts w:hint="default"/>
      </w:rPr>
    </w:lvl>
    <w:lvl w:ilvl="4" w:tplc="0744FAA4">
      <w:start w:val="1"/>
      <w:numFmt w:val="bullet"/>
      <w:lvlText w:val="•"/>
      <w:lvlJc w:val="left"/>
      <w:pPr>
        <w:ind w:left="4360" w:hanging="360"/>
      </w:pPr>
      <w:rPr>
        <w:rFonts w:hint="default"/>
      </w:rPr>
    </w:lvl>
    <w:lvl w:ilvl="5" w:tplc="28FEDE58">
      <w:start w:val="1"/>
      <w:numFmt w:val="bullet"/>
      <w:lvlText w:val="•"/>
      <w:lvlJc w:val="left"/>
      <w:pPr>
        <w:ind w:left="5173" w:hanging="360"/>
      </w:pPr>
      <w:rPr>
        <w:rFonts w:hint="default"/>
      </w:rPr>
    </w:lvl>
    <w:lvl w:ilvl="6" w:tplc="7B5A9594">
      <w:start w:val="1"/>
      <w:numFmt w:val="bullet"/>
      <w:lvlText w:val="•"/>
      <w:lvlJc w:val="left"/>
      <w:pPr>
        <w:ind w:left="5986" w:hanging="360"/>
      </w:pPr>
      <w:rPr>
        <w:rFonts w:hint="default"/>
      </w:rPr>
    </w:lvl>
    <w:lvl w:ilvl="7" w:tplc="F7A62862">
      <w:start w:val="1"/>
      <w:numFmt w:val="bullet"/>
      <w:lvlText w:val="•"/>
      <w:lvlJc w:val="left"/>
      <w:pPr>
        <w:ind w:left="6800" w:hanging="360"/>
      </w:pPr>
      <w:rPr>
        <w:rFonts w:hint="default"/>
      </w:rPr>
    </w:lvl>
    <w:lvl w:ilvl="8" w:tplc="B7328BA0">
      <w:start w:val="1"/>
      <w:numFmt w:val="bullet"/>
      <w:lvlText w:val="•"/>
      <w:lvlJc w:val="left"/>
      <w:pPr>
        <w:ind w:left="7613" w:hanging="360"/>
      </w:pPr>
      <w:rPr>
        <w:rFonts w:hint="default"/>
      </w:rPr>
    </w:lvl>
  </w:abstractNum>
  <w:abstractNum w:abstractNumId="4" w15:restartNumberingAfterBreak="0">
    <w:nsid w:val="702471E1"/>
    <w:multiLevelType w:val="hybridMultilevel"/>
    <w:tmpl w:val="40CE8516"/>
    <w:lvl w:ilvl="0" w:tplc="13A61860">
      <w:start w:val="1"/>
      <w:numFmt w:val="lowerRoman"/>
      <w:lvlText w:val="%1."/>
      <w:lvlJc w:val="left"/>
      <w:pPr>
        <w:ind w:left="500" w:hanging="360"/>
        <w:jc w:val="left"/>
      </w:pPr>
      <w:rPr>
        <w:rFonts w:ascii="Calibri" w:eastAsia="Calibri" w:hAnsi="Calibri" w:cs="Calibri" w:hint="default"/>
        <w:spacing w:val="-1"/>
        <w:w w:val="100"/>
        <w:sz w:val="22"/>
        <w:szCs w:val="22"/>
      </w:rPr>
    </w:lvl>
    <w:lvl w:ilvl="1" w:tplc="62C24860">
      <w:start w:val="1"/>
      <w:numFmt w:val="bullet"/>
      <w:lvlText w:val="•"/>
      <w:lvlJc w:val="left"/>
      <w:pPr>
        <w:ind w:left="1366" w:hanging="360"/>
      </w:pPr>
      <w:rPr>
        <w:rFonts w:hint="default"/>
      </w:rPr>
    </w:lvl>
    <w:lvl w:ilvl="2" w:tplc="00D8B7A2">
      <w:start w:val="1"/>
      <w:numFmt w:val="bullet"/>
      <w:lvlText w:val="•"/>
      <w:lvlJc w:val="left"/>
      <w:pPr>
        <w:ind w:left="2232" w:hanging="360"/>
      </w:pPr>
      <w:rPr>
        <w:rFonts w:hint="default"/>
      </w:rPr>
    </w:lvl>
    <w:lvl w:ilvl="3" w:tplc="6638D7A6">
      <w:start w:val="1"/>
      <w:numFmt w:val="bullet"/>
      <w:lvlText w:val="•"/>
      <w:lvlJc w:val="left"/>
      <w:pPr>
        <w:ind w:left="3098" w:hanging="360"/>
      </w:pPr>
      <w:rPr>
        <w:rFonts w:hint="default"/>
      </w:rPr>
    </w:lvl>
    <w:lvl w:ilvl="4" w:tplc="930CCF4E">
      <w:start w:val="1"/>
      <w:numFmt w:val="bullet"/>
      <w:lvlText w:val="•"/>
      <w:lvlJc w:val="left"/>
      <w:pPr>
        <w:ind w:left="3964" w:hanging="360"/>
      </w:pPr>
      <w:rPr>
        <w:rFonts w:hint="default"/>
      </w:rPr>
    </w:lvl>
    <w:lvl w:ilvl="5" w:tplc="7FAA31DA">
      <w:start w:val="1"/>
      <w:numFmt w:val="bullet"/>
      <w:lvlText w:val="•"/>
      <w:lvlJc w:val="left"/>
      <w:pPr>
        <w:ind w:left="4830" w:hanging="360"/>
      </w:pPr>
      <w:rPr>
        <w:rFonts w:hint="default"/>
      </w:rPr>
    </w:lvl>
    <w:lvl w:ilvl="6" w:tplc="D0FCE61E">
      <w:start w:val="1"/>
      <w:numFmt w:val="bullet"/>
      <w:lvlText w:val="•"/>
      <w:lvlJc w:val="left"/>
      <w:pPr>
        <w:ind w:left="5696" w:hanging="360"/>
      </w:pPr>
      <w:rPr>
        <w:rFonts w:hint="default"/>
      </w:rPr>
    </w:lvl>
    <w:lvl w:ilvl="7" w:tplc="B52E5B72">
      <w:start w:val="1"/>
      <w:numFmt w:val="bullet"/>
      <w:lvlText w:val="•"/>
      <w:lvlJc w:val="left"/>
      <w:pPr>
        <w:ind w:left="6562" w:hanging="360"/>
      </w:pPr>
      <w:rPr>
        <w:rFonts w:hint="default"/>
      </w:rPr>
    </w:lvl>
    <w:lvl w:ilvl="8" w:tplc="7CB49C04">
      <w:start w:val="1"/>
      <w:numFmt w:val="bullet"/>
      <w:lvlText w:val="•"/>
      <w:lvlJc w:val="left"/>
      <w:pPr>
        <w:ind w:left="7428" w:hanging="3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60"/>
    <w:rsid w:val="00001015"/>
    <w:rsid w:val="00012462"/>
    <w:rsid w:val="00094A60"/>
    <w:rsid w:val="000C5E77"/>
    <w:rsid w:val="00167376"/>
    <w:rsid w:val="003F3159"/>
    <w:rsid w:val="004B5F5D"/>
    <w:rsid w:val="00532AA6"/>
    <w:rsid w:val="00566A57"/>
    <w:rsid w:val="0069754F"/>
    <w:rsid w:val="007423DD"/>
    <w:rsid w:val="00782CCC"/>
    <w:rsid w:val="007839EA"/>
    <w:rsid w:val="0080537B"/>
    <w:rsid w:val="00986F3A"/>
    <w:rsid w:val="009F43A7"/>
    <w:rsid w:val="00A23B27"/>
    <w:rsid w:val="00BA0B4F"/>
    <w:rsid w:val="00F22E40"/>
    <w:rsid w:val="00F810BF"/>
    <w:rsid w:val="00F9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58AA1-77F2-44F2-B0AD-1C791D14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1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right="44"/>
      <w:jc w:val="center"/>
    </w:pPr>
  </w:style>
  <w:style w:type="paragraph" w:styleId="TOC2">
    <w:name w:val="toc 2"/>
    <w:basedOn w:val="Normal"/>
    <w:uiPriority w:val="1"/>
    <w:qFormat/>
    <w:pPr>
      <w:spacing w:before="17"/>
      <w:ind w:left="1000" w:hanging="720"/>
    </w:pPr>
  </w:style>
  <w:style w:type="paragraph" w:styleId="TOC3">
    <w:name w:val="toc 3"/>
    <w:basedOn w:val="Normal"/>
    <w:uiPriority w:val="1"/>
    <w:qFormat/>
    <w:pPr>
      <w:spacing w:before="19"/>
      <w:ind w:left="853"/>
      <w:jc w:val="center"/>
    </w:pPr>
  </w:style>
  <w:style w:type="paragraph" w:styleId="TOC4">
    <w:name w:val="toc 4"/>
    <w:basedOn w:val="Normal"/>
    <w:uiPriority w:val="1"/>
    <w:qFormat/>
    <w:pPr>
      <w:spacing w:before="17"/>
      <w:ind w:left="1360" w:hanging="386"/>
    </w:pPr>
  </w:style>
  <w:style w:type="paragraph" w:styleId="TOC5">
    <w:name w:val="toc 5"/>
    <w:basedOn w:val="Normal"/>
    <w:uiPriority w:val="1"/>
    <w:qFormat/>
    <w:pPr>
      <w:spacing w:before="17"/>
      <w:ind w:left="1360" w:hanging="336"/>
      <w:jc w:val="center"/>
    </w:pPr>
  </w:style>
  <w:style w:type="paragraph" w:styleId="TOC6">
    <w:name w:val="toc 6"/>
    <w:basedOn w:val="Normal"/>
    <w:uiPriority w:val="1"/>
    <w:qFormat/>
    <w:pPr>
      <w:spacing w:before="17"/>
      <w:ind w:left="1540" w:hanging="360"/>
      <w:jc w:val="center"/>
    </w:pPr>
  </w:style>
  <w:style w:type="paragraph" w:styleId="TOC7">
    <w:name w:val="toc 7"/>
    <w:basedOn w:val="Normal"/>
    <w:uiPriority w:val="1"/>
    <w:qFormat/>
    <w:pPr>
      <w:spacing w:before="57"/>
      <w:ind w:left="100" w:right="101" w:firstLine="8882"/>
    </w:pPr>
  </w:style>
  <w:style w:type="paragraph" w:styleId="BodyText">
    <w:name w:val="Body Text"/>
    <w:basedOn w:val="Normal"/>
    <w:uiPriority w:val="1"/>
    <w:qFormat/>
  </w:style>
  <w:style w:type="paragraph" w:styleId="ListParagraph">
    <w:name w:val="List Paragraph"/>
    <w:basedOn w:val="Normal"/>
    <w:uiPriority w:val="1"/>
    <w:qFormat/>
    <w:pPr>
      <w:spacing w:before="17"/>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3B27"/>
    <w:pPr>
      <w:tabs>
        <w:tab w:val="center" w:pos="4680"/>
        <w:tab w:val="right" w:pos="9360"/>
      </w:tabs>
    </w:pPr>
  </w:style>
  <w:style w:type="character" w:customStyle="1" w:styleId="HeaderChar">
    <w:name w:val="Header Char"/>
    <w:basedOn w:val="DefaultParagraphFont"/>
    <w:link w:val="Header"/>
    <w:uiPriority w:val="99"/>
    <w:rsid w:val="00A23B27"/>
    <w:rPr>
      <w:rFonts w:ascii="Calibri" w:eastAsia="Calibri" w:hAnsi="Calibri" w:cs="Calibri"/>
    </w:rPr>
  </w:style>
  <w:style w:type="paragraph" w:styleId="Footer">
    <w:name w:val="footer"/>
    <w:basedOn w:val="Normal"/>
    <w:link w:val="FooterChar"/>
    <w:uiPriority w:val="99"/>
    <w:unhideWhenUsed/>
    <w:rsid w:val="00A23B27"/>
    <w:pPr>
      <w:tabs>
        <w:tab w:val="center" w:pos="4680"/>
        <w:tab w:val="right" w:pos="9360"/>
      </w:tabs>
    </w:pPr>
  </w:style>
  <w:style w:type="character" w:customStyle="1" w:styleId="FooterChar">
    <w:name w:val="Footer Char"/>
    <w:basedOn w:val="DefaultParagraphFont"/>
    <w:link w:val="Footer"/>
    <w:uiPriority w:val="99"/>
    <w:rsid w:val="00A23B2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gcsu.smartcatalogiq.com/Policy-Manual/Policy-Manual/Academic-Affairs/EmploymentPolicies-Procedures-Benefits/Faculty-Appointments-Qualifications-for/Contract-Conversions-Academic-Year-and-Fiscal-Year" TargetMode="External"/><Relationship Id="rId3" Type="http://schemas.openxmlformats.org/officeDocument/2006/relationships/settings" Target="settings.xml"/><Relationship Id="rId21" Type="http://schemas.openxmlformats.org/officeDocument/2006/relationships/hyperlink" Target="https://www.usg.edu/academic_affairs_handbook/section4/C682/"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gcsu.smartcatalogiq.com/Policy-Manual/Policy-Manual/Academic-Affairs/EmploymentPolicies-Procedures-Benefits/Faculty-Appointments-Qualifications-for/Contract-Conversions-Academic-Year-and-Fiscal-Year" TargetMode="External"/><Relationship Id="rId2" Type="http://schemas.openxmlformats.org/officeDocument/2006/relationships/styles" Target="styles.xml"/><Relationship Id="rId16" Type="http://schemas.openxmlformats.org/officeDocument/2006/relationships/hyperlink" Target="https://nces.ed.gov/ipeds/cipcode/Default.aspx?y=55" TargetMode="External"/><Relationship Id="rId20" Type="http://schemas.openxmlformats.org/officeDocument/2006/relationships/hyperlink" Target="https://www.usg.edu/academic_affairs_handbook/section4/C6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gcsu.smartcatalogiq.com/Policy-Manual/Policy-Manual/Academic-Affairs/EmploymentPolicies-Procedures-Benefits/Faculty-Appointments-Qualifications-for/Contract-Conversions-Academic-Year-and-Fiscal-Yea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Swinton</dc:creator>
  <cp:lastModifiedBy>shannon gardner</cp:lastModifiedBy>
  <cp:revision>2</cp:revision>
  <dcterms:created xsi:type="dcterms:W3CDTF">2019-12-16T14:24:00Z</dcterms:created>
  <dcterms:modified xsi:type="dcterms:W3CDTF">2019-12-16T14:24:00Z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Acrobat PDFMaker 15 for Word</vt:lpwstr>
  </property>
  <property fmtid="{D5CDD505-2E9C-101B-9397-08002B2CF9AE}" pid="4" name="LastSaved">
    <vt:filetime>2019-05-21T00:00:00Z</vt:filetime>
  </property>
</Properties>
</file>